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Modelamento de propriedades geométricas e petrofísicas</w:t>
      </w:r>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9427A9">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9427A9">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9427A9">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9427A9">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9427A9">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9427A9">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9427A9">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9427A9">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9427A9">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9427A9">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9427A9">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9427A9">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9427A9">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9427A9">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9427A9">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9427A9">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9427A9">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9427A9">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9427A9">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9427A9">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9427A9">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9427A9">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9427A9">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9427A9">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9427A9"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9427A9">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9427A9">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9427A9">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9427A9">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9427A9">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9427A9">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9427A9">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9427A9">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9427A9">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9427A9">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9427A9">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9427A9">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9427A9">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9427A9">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9427A9">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9427A9">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9427A9">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9427A9">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9427A9">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9427A9">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9427A9">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9427A9">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9427A9">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9427A9">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9427A9">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9427A9">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9427A9">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9427A9">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9427A9">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9427A9">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9427A9">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9427A9">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9427A9">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9427A9">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9427A9">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9427A9">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9427A9">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9427A9">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9427A9">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9427A9">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9427A9">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9427A9">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9427A9">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9427A9">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9427A9">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9427A9">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9427A9">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Este estudo visa desenvolver modelos de propriedades geométricas e petrofísicas</w:t>
      </w:r>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w:t>
      </w:r>
      <w:proofErr w:type="spellStart"/>
      <w:r w:rsidRPr="00A62B7C">
        <w:rPr>
          <w:rFonts w:ascii="Arial" w:hAnsi="Arial" w:cs="Arial"/>
          <w:sz w:val="24"/>
          <w:szCs w:val="24"/>
        </w:rPr>
        <w:t>inter-poços</w:t>
      </w:r>
      <w:proofErr w:type="spellEnd"/>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w:t>
      </w:r>
      <w:proofErr w:type="spellStart"/>
      <w:r w:rsidRPr="00A62B7C">
        <w:rPr>
          <w:rFonts w:ascii="Arial" w:hAnsi="Arial" w:cs="Arial"/>
          <w:sz w:val="24"/>
          <w:szCs w:val="24"/>
        </w:rPr>
        <w:t>geoestatística</w:t>
      </w:r>
      <w:proofErr w:type="spellEnd"/>
      <w:r w:rsidRPr="00A62B7C">
        <w:rPr>
          <w:rFonts w:ascii="Arial" w:hAnsi="Arial" w:cs="Arial"/>
          <w:sz w:val="24"/>
          <w:szCs w:val="24"/>
        </w:rPr>
        <w:t xml:space="preserve">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w:t>
      </w:r>
      <w:proofErr w:type="spellStart"/>
      <w:r w:rsidRPr="00A62B7C">
        <w:rPr>
          <w:rFonts w:ascii="Arial" w:hAnsi="Arial" w:cs="Arial"/>
          <w:sz w:val="24"/>
          <w:szCs w:val="24"/>
        </w:rPr>
        <w:t>geocientista</w:t>
      </w:r>
      <w:proofErr w:type="spellEnd"/>
      <w:r w:rsidRPr="00A62B7C">
        <w:rPr>
          <w:rFonts w:ascii="Arial" w:hAnsi="Arial" w:cs="Arial"/>
          <w:sz w:val="24"/>
          <w:szCs w:val="24"/>
        </w:rPr>
        <w:t xml:space="preserve">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 xml:space="preserve">Em sua maioria, técnicas em modelamento </w:t>
      </w:r>
      <w:proofErr w:type="spellStart"/>
      <w:r w:rsidRPr="00A62B7C">
        <w:rPr>
          <w:rFonts w:ascii="Arial" w:hAnsi="Arial" w:cs="Arial"/>
          <w:sz w:val="24"/>
          <w:szCs w:val="24"/>
        </w:rPr>
        <w:t>geoestatístico</w:t>
      </w:r>
      <w:proofErr w:type="spellEnd"/>
      <w:r w:rsidRPr="00A62B7C">
        <w:rPr>
          <w:rFonts w:ascii="Arial" w:hAnsi="Arial" w:cs="Arial"/>
          <w:sz w:val="24"/>
          <w:szCs w:val="24"/>
        </w:rPr>
        <w:t xml:space="preserve">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w:t>
      </w:r>
      <w:proofErr w:type="spellStart"/>
      <w:r w:rsidR="006A6530">
        <w:rPr>
          <w:rFonts w:ascii="Arial" w:hAnsi="Arial" w:cs="Arial"/>
          <w:sz w:val="24"/>
          <w:szCs w:val="24"/>
        </w:rPr>
        <w:t>geoestatístico</w:t>
      </w:r>
      <w:proofErr w:type="spellEnd"/>
      <w:r w:rsidR="006A6530">
        <w:rPr>
          <w:rFonts w:ascii="Arial" w:hAnsi="Arial" w:cs="Arial"/>
          <w:sz w:val="24"/>
          <w:szCs w:val="24"/>
        </w:rPr>
        <w:t xml:space="preserve">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w:t>
      </w:r>
      <w:proofErr w:type="spellStart"/>
      <w:r w:rsidR="00A47866">
        <w:rPr>
          <w:rFonts w:ascii="Arial" w:hAnsi="Arial" w:cs="Arial"/>
          <w:sz w:val="24"/>
          <w:szCs w:val="24"/>
        </w:rPr>
        <w:t>geostatístico</w:t>
      </w:r>
      <w:proofErr w:type="spellEnd"/>
      <w:r w:rsidR="00A47866">
        <w:rPr>
          <w:rFonts w:ascii="Arial" w:hAnsi="Arial" w:cs="Arial"/>
          <w:sz w:val="24"/>
          <w:szCs w:val="24"/>
        </w:rPr>
        <w:t xml:space="preserve">, aplicando algoritmos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para dados na porção estruturada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e simulações gaussianas para dados na porção não estruturada, permitindo melhor desempenho na estimativa de dados nas porções não estruturadas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w:t>
      </w:r>
      <w:proofErr w:type="spellStart"/>
      <w:r w:rsidR="00A47866">
        <w:rPr>
          <w:rFonts w:ascii="Arial" w:hAnsi="Arial" w:cs="Arial"/>
          <w:sz w:val="24"/>
          <w:szCs w:val="24"/>
        </w:rPr>
        <w:t>Hengl</w:t>
      </w:r>
      <w:proofErr w:type="spellEnd"/>
      <w:r w:rsidR="00A47866">
        <w:rPr>
          <w:rFonts w:ascii="Arial" w:hAnsi="Arial" w:cs="Arial"/>
          <w:sz w:val="24"/>
          <w:szCs w:val="24"/>
        </w:rPr>
        <w:t xml:space="preserve"> et al., 2007; Hansen et al., 2006) e evitando as feições suavizadas características de algoritmos baseados unicamente em métodos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petrofísicos,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estudo busca caracterizar a complexidade estrutural do Campo B desenvolvendo atributos sísmicos que realcem e </w:t>
      </w:r>
      <w:proofErr w:type="spellStart"/>
      <w:r>
        <w:rPr>
          <w:rFonts w:ascii="Arial" w:hAnsi="Arial" w:cs="Arial"/>
          <w:sz w:val="24"/>
          <w:szCs w:val="24"/>
        </w:rPr>
        <w:t>discretizem</w:t>
      </w:r>
      <w:proofErr w:type="spellEnd"/>
      <w:r>
        <w:rPr>
          <w:rFonts w:ascii="Arial" w:hAnsi="Arial" w:cs="Arial"/>
          <w:sz w:val="24"/>
          <w:szCs w:val="24"/>
        </w:rPr>
        <w:t xml:space="preserve">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w:t>
      </w:r>
      <w:proofErr w:type="spellStart"/>
      <w:r w:rsidR="006D5136">
        <w:rPr>
          <w:rFonts w:ascii="Arial" w:hAnsi="Arial" w:cs="Arial"/>
          <w:sz w:val="24"/>
          <w:szCs w:val="24"/>
        </w:rPr>
        <w:t>sub-sísmicas</w:t>
      </w:r>
      <w:proofErr w:type="spellEnd"/>
      <w:r w:rsidR="006D5136">
        <w:rPr>
          <w:rFonts w:ascii="Arial" w:hAnsi="Arial" w:cs="Arial"/>
          <w:sz w:val="24"/>
          <w:szCs w:val="24"/>
        </w:rPr>
        <w:t>, ainda que fraturais nesta escala não influenciem significativamente modelos volumétricos (</w:t>
      </w:r>
      <w:proofErr w:type="spellStart"/>
      <w:r w:rsidR="006D5136" w:rsidRPr="00A62B7C">
        <w:rPr>
          <w:rFonts w:ascii="Arial" w:hAnsi="Arial" w:cs="Arial"/>
          <w:sz w:val="24"/>
          <w:szCs w:val="24"/>
        </w:rPr>
        <w:t>Ringrose</w:t>
      </w:r>
      <w:proofErr w:type="spellEnd"/>
      <w:r w:rsidR="006D5136" w:rsidRPr="00A62B7C">
        <w:rPr>
          <w:rFonts w:ascii="Arial" w:hAnsi="Arial" w:cs="Arial"/>
          <w:sz w:val="24"/>
          <w:szCs w:val="24"/>
        </w:rPr>
        <w:t xml:space="preserve"> &amp; Bentley, 2014c</w:t>
      </w:r>
      <w:r w:rsidR="006D5136">
        <w:rPr>
          <w:rFonts w:ascii="Arial" w:hAnsi="Arial" w:cs="Arial"/>
          <w:sz w:val="24"/>
          <w:szCs w:val="24"/>
        </w:rPr>
        <w:t>)</w:t>
      </w:r>
      <w:r w:rsidR="00D22610">
        <w:rPr>
          <w:rFonts w:ascii="Arial" w:hAnsi="Arial" w:cs="Arial"/>
          <w:sz w:val="24"/>
          <w:szCs w:val="24"/>
        </w:rPr>
        <w:t xml:space="preserve">. Ao mesmo tempo, altos valores para o atributo de </w:t>
      </w:r>
      <w:proofErr w:type="spellStart"/>
      <w:r w:rsidR="00D22610">
        <w:rPr>
          <w:rFonts w:ascii="Arial" w:hAnsi="Arial" w:cs="Arial"/>
          <w:sz w:val="24"/>
          <w:szCs w:val="24"/>
        </w:rPr>
        <w:t>ant</w:t>
      </w:r>
      <w:proofErr w:type="spellEnd"/>
      <w:r w:rsidR="00D22610">
        <w:rPr>
          <w:rFonts w:ascii="Arial" w:hAnsi="Arial" w:cs="Arial"/>
          <w:sz w:val="24"/>
          <w:szCs w:val="24"/>
        </w:rPr>
        <w:t>-tracking são associados a altos graus de fraturamento em testemunho (</w:t>
      </w:r>
      <w:proofErr w:type="spellStart"/>
      <w:r w:rsidR="00D22610">
        <w:rPr>
          <w:rFonts w:ascii="Arial" w:hAnsi="Arial" w:cs="Arial"/>
          <w:sz w:val="24"/>
          <w:szCs w:val="24"/>
        </w:rPr>
        <w:t>Fang</w:t>
      </w:r>
      <w:proofErr w:type="spellEnd"/>
      <w:r w:rsidR="00D22610">
        <w:rPr>
          <w:rFonts w:ascii="Arial" w:hAnsi="Arial" w:cs="Arial"/>
          <w:sz w:val="24"/>
          <w:szCs w:val="24"/>
        </w:rPr>
        <w:t xml:space="preserve">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 xml:space="preserve">s interpretativo associado ao processo (Cox &amp; </w:t>
      </w:r>
      <w:proofErr w:type="spellStart"/>
      <w:r w:rsidR="005A1525">
        <w:rPr>
          <w:rFonts w:ascii="Arial" w:hAnsi="Arial" w:cs="Arial"/>
          <w:sz w:val="24"/>
          <w:szCs w:val="24"/>
        </w:rPr>
        <w:t>Seitz</w:t>
      </w:r>
      <w:proofErr w:type="spellEnd"/>
      <w:r w:rsidR="005A1525">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-tracking. Ao mesmo tempo, outros autores sugerem a utilização de filtros de suavização estrutural previamente ao cálculo do atributo de variância à fim 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derivadas de dados petrofísicos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Mapas Auto-Organizáveis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w:t>
      </w:r>
      <w:proofErr w:type="spellStart"/>
      <w:r w:rsidR="00403851">
        <w:rPr>
          <w:rFonts w:ascii="Arial" w:hAnsi="Arial" w:cs="Arial"/>
          <w:sz w:val="24"/>
          <w:szCs w:val="24"/>
        </w:rPr>
        <w:t>Means</w:t>
      </w:r>
      <w:proofErr w:type="spellEnd"/>
      <w:r w:rsidR="00403851">
        <w:rPr>
          <w:rFonts w:ascii="Arial" w:hAnsi="Arial" w:cs="Arial"/>
          <w:sz w:val="24"/>
          <w:szCs w:val="24"/>
        </w:rPr>
        <w:t xml:space="preserve">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w:t>
      </w:r>
      <w:proofErr w:type="spellStart"/>
      <w:r w:rsidRPr="00E45AA7">
        <w:rPr>
          <w:rFonts w:ascii="Arial" w:hAnsi="Arial" w:cs="Arial"/>
          <w:i/>
          <w:iCs/>
          <w:sz w:val="24"/>
          <w:szCs w:val="24"/>
        </w:rPr>
        <w:t>to</w:t>
      </w:r>
      <w:proofErr w:type="spellEnd"/>
      <w:r w:rsidRPr="00E45AA7">
        <w:rPr>
          <w:rFonts w:ascii="Arial" w:hAnsi="Arial" w:cs="Arial"/>
          <w:i/>
          <w:iCs/>
          <w:sz w:val="24"/>
          <w:szCs w:val="24"/>
        </w:rPr>
        <w:t>-</w:t>
      </w:r>
      <w:proofErr w:type="spellStart"/>
      <w:r w:rsidRPr="00E45AA7">
        <w:rPr>
          <w:rFonts w:ascii="Arial" w:hAnsi="Arial" w:cs="Arial"/>
          <w:i/>
          <w:iCs/>
          <w:sz w:val="24"/>
          <w:szCs w:val="24"/>
        </w:rPr>
        <w:t>gross</w:t>
      </w:r>
      <w:proofErr w:type="spellEnd"/>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O algoritmo de Mistura Gaussiana, ao apresentar saídas probabilísticas para cada classe, permite quantificar as probabilidades de cada ponto pertencer a cada classe (</w:t>
      </w:r>
      <w:proofErr w:type="spellStart"/>
      <w:r w:rsidRPr="00403851">
        <w:rPr>
          <w:rFonts w:ascii="Arial" w:hAnsi="Arial" w:cs="Arial"/>
          <w:sz w:val="24"/>
          <w:szCs w:val="24"/>
        </w:rPr>
        <w:t>Viroli</w:t>
      </w:r>
      <w:proofErr w:type="spellEnd"/>
      <w:r w:rsidRPr="00403851">
        <w:rPr>
          <w:rFonts w:ascii="Arial" w:hAnsi="Arial" w:cs="Arial"/>
          <w:sz w:val="24"/>
          <w:szCs w:val="24"/>
        </w:rPr>
        <w:t xml:space="preserve"> &amp; </w:t>
      </w:r>
      <w:proofErr w:type="spellStart"/>
      <w:r w:rsidRPr="00403851">
        <w:rPr>
          <w:rFonts w:ascii="Arial" w:hAnsi="Arial" w:cs="Arial"/>
          <w:sz w:val="24"/>
          <w:szCs w:val="24"/>
        </w:rPr>
        <w:t>McLachlan</w:t>
      </w:r>
      <w:proofErr w:type="spellEnd"/>
      <w:r w:rsidRPr="00403851">
        <w:rPr>
          <w:rFonts w:ascii="Arial" w:hAnsi="Arial" w:cs="Arial"/>
          <w:sz w:val="24"/>
          <w:szCs w:val="24"/>
        </w:rPr>
        <w:t xml:space="preserve">, 2019). Como o cálculo de volumes, objetivo final deste estudo, </w:t>
      </w:r>
      <w:r w:rsidRPr="00403851">
        <w:rPr>
          <w:rFonts w:ascii="Arial" w:hAnsi="Arial" w:cs="Arial"/>
          <w:sz w:val="24"/>
          <w:szCs w:val="24"/>
        </w:rPr>
        <w:lastRenderedPageBreak/>
        <w:t>passa pela estimativa da razão Net-</w:t>
      </w:r>
      <w:proofErr w:type="spellStart"/>
      <w:r w:rsidRPr="00403851">
        <w:rPr>
          <w:rFonts w:ascii="Arial" w:hAnsi="Arial" w:cs="Arial"/>
          <w:sz w:val="24"/>
          <w:szCs w:val="24"/>
        </w:rPr>
        <w:t>to</w:t>
      </w:r>
      <w:proofErr w:type="spellEnd"/>
      <w:r w:rsidRPr="00403851">
        <w:rPr>
          <w:rFonts w:ascii="Arial" w:hAnsi="Arial" w:cs="Arial"/>
          <w:sz w:val="24"/>
          <w:szCs w:val="24"/>
        </w:rPr>
        <w:t>-Gross, também medida entre 0 e 1 (</w:t>
      </w:r>
      <w:proofErr w:type="spellStart"/>
      <w:r w:rsidRPr="00403851">
        <w:rPr>
          <w:rFonts w:ascii="Arial" w:hAnsi="Arial" w:cs="Arial"/>
          <w:sz w:val="24"/>
          <w:szCs w:val="24"/>
        </w:rPr>
        <w:t>Egbele</w:t>
      </w:r>
      <w:proofErr w:type="spellEnd"/>
      <w:r w:rsidRPr="00403851">
        <w:rPr>
          <w:rFonts w:ascii="Arial" w:hAnsi="Arial" w:cs="Arial"/>
          <w:sz w:val="24"/>
          <w:szCs w:val="24"/>
        </w:rPr>
        <w:t xml:space="preserv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A base de dados deste estudo inclui horizontes no domínio da profundidade para o topo e base do reservatório além de outras unidades geológicas estratigraficamente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Composto pelas Formações: Goitacás, Quissamã, Outeiro, </w:t>
      </w:r>
      <w:proofErr w:type="spellStart"/>
      <w:r w:rsidRPr="00A62B7C">
        <w:rPr>
          <w:rFonts w:ascii="Arial" w:hAnsi="Arial" w:cs="Arial"/>
          <w:sz w:val="24"/>
          <w:szCs w:val="24"/>
        </w:rPr>
        <w:t>Imbetiba</w:t>
      </w:r>
      <w:proofErr w:type="spellEnd"/>
      <w:r w:rsidRPr="00A62B7C">
        <w:rPr>
          <w:rFonts w:ascii="Arial" w:hAnsi="Arial" w:cs="Arial"/>
          <w:sz w:val="24"/>
          <w:szCs w:val="24"/>
        </w:rPr>
        <w:t xml:space="preserve">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fraturamento: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fraturamento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proofErr w:type="spellStart"/>
      <w:r w:rsidR="00831A57" w:rsidRPr="00831A57">
        <w:rPr>
          <w:rFonts w:ascii="Arial" w:hAnsi="Arial" w:cs="Arial"/>
          <w:i/>
          <w:iCs/>
          <w:sz w:val="24"/>
          <w:szCs w:val="24"/>
        </w:rPr>
        <w:t>segy</w:t>
      </w:r>
      <w:proofErr w:type="spellEnd"/>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 xml:space="preserve">Horizontes inicialmente interpretados no domínio do tempo e convertidos para o domínio da profundidade conjuntamente ao volume sísmico também fazem parte da base de dados, estes horizontes representam os topos das Formações Outeiro, </w:t>
      </w:r>
      <w:proofErr w:type="spellStart"/>
      <w:r w:rsidRPr="00A62B7C">
        <w:rPr>
          <w:rFonts w:ascii="Arial" w:hAnsi="Arial" w:cs="Arial"/>
          <w:sz w:val="24"/>
          <w:szCs w:val="24"/>
        </w:rPr>
        <w:t>Imbetiba</w:t>
      </w:r>
      <w:proofErr w:type="spellEnd"/>
      <w:r w:rsidRPr="00A62B7C">
        <w:rPr>
          <w:rFonts w:ascii="Arial" w:hAnsi="Arial" w:cs="Arial"/>
          <w:sz w:val="24"/>
          <w:szCs w:val="24"/>
        </w:rPr>
        <w:t>,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w:t>
      </w:r>
      <w:proofErr w:type="spellStart"/>
      <w:r w:rsidRPr="00A43F87">
        <w:rPr>
          <w:rFonts w:ascii="Arial" w:hAnsi="Arial" w:cs="Arial"/>
          <w:b/>
          <w:color w:val="auto"/>
          <w:sz w:val="20"/>
          <w:szCs w:val="20"/>
        </w:rPr>
        <w:t>Imbetiba</w:t>
      </w:r>
      <w:proofErr w:type="spellEnd"/>
      <w:r w:rsidRPr="00A43F87">
        <w:rPr>
          <w:rFonts w:ascii="Arial" w:hAnsi="Arial" w:cs="Arial"/>
          <w:b/>
          <w:color w:val="auto"/>
          <w:sz w:val="20"/>
          <w:szCs w:val="20"/>
        </w:rPr>
        <w:t>,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9427A9"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proofErr w:type="spellStart"/>
      <w:r w:rsidR="001419C4" w:rsidRPr="00F91027">
        <w:rPr>
          <w:rFonts w:ascii="Arial" w:hAnsi="Arial" w:cs="Arial"/>
          <w:i/>
          <w:sz w:val="24"/>
          <w:szCs w:val="24"/>
        </w:rPr>
        <w:t>Phi</w:t>
      </w:r>
      <w:proofErr w:type="spellEnd"/>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9427A9"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proofErr w:type="spellStart"/>
      <w:r w:rsidR="00D22610">
        <w:rPr>
          <w:rFonts w:ascii="Arial" w:hAnsi="Arial" w:cs="Arial"/>
          <w:sz w:val="24"/>
          <w:szCs w:val="24"/>
        </w:rPr>
        <w:t>discretizadas</w:t>
      </w:r>
      <w:proofErr w:type="spellEnd"/>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9427A9" w:rsidRPr="00075389" w:rsidRDefault="009427A9"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9427A9" w:rsidRPr="00075389" w:rsidRDefault="009427A9"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refletindo assim em uma região provavelmente associada a maiores níveis de fraturamento</w:t>
      </w:r>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5D665DB2" w:rsidR="00D7096C" w:rsidRPr="00A47866" w:rsidRDefault="000223BA" w:rsidP="00A47866">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lastRenderedPageBreak/>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7D2ECA2B"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4B288A2F" w:rsidR="00126D99" w:rsidRPr="008D0FD1" w:rsidRDefault="0099276E" w:rsidP="008D0FD1">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lastRenderedPageBreak/>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w:t>
      </w:r>
      <w:proofErr w:type="spellStart"/>
      <w:r>
        <w:rPr>
          <w:rFonts w:ascii="Arial" w:hAnsi="Arial" w:cs="Arial"/>
          <w:sz w:val="24"/>
          <w:szCs w:val="24"/>
        </w:rPr>
        <w:t>geoestatística</w:t>
      </w:r>
      <w:proofErr w:type="spellEnd"/>
      <w:r>
        <w:rPr>
          <w:rFonts w:ascii="Arial" w:hAnsi="Arial" w:cs="Arial"/>
          <w:sz w:val="24"/>
          <w:szCs w:val="24"/>
        </w:rPr>
        <w:t xml:space="preserve">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9427A9"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proofErr w:type="spellStart"/>
      <w:r w:rsidR="00403851">
        <w:rPr>
          <w:rFonts w:ascii="Arial" w:hAnsi="Arial" w:cs="Arial"/>
          <w:sz w:val="24"/>
          <w:szCs w:val="24"/>
        </w:rPr>
        <w:t>Hengl</w:t>
      </w:r>
      <w:proofErr w:type="spellEnd"/>
      <w:r w:rsidR="00403851">
        <w:rPr>
          <w:rFonts w:ascii="Arial" w:hAnsi="Arial" w:cs="Arial"/>
          <w:sz w:val="24"/>
          <w:szCs w:val="24"/>
        </w:rPr>
        <w:t xml:space="preserve"> et al., 2007: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proofErr w:type="spellStart"/>
      <w:r w:rsidR="00222AE4" w:rsidRPr="00222AE4">
        <w:rPr>
          <w:rFonts w:ascii="Arial" w:hAnsi="Arial" w:cs="Arial"/>
          <w:i/>
          <w:sz w:val="24"/>
          <w:szCs w:val="24"/>
        </w:rPr>
        <w:t>upscaling</w:t>
      </w:r>
      <w:proofErr w:type="spellEnd"/>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w:t>
      </w:r>
      <w:proofErr w:type="spellStart"/>
      <w:r w:rsidR="00CA6468">
        <w:rPr>
          <w:rFonts w:ascii="Arial" w:hAnsi="Arial" w:cs="Arial"/>
          <w:sz w:val="24"/>
          <w:szCs w:val="24"/>
        </w:rPr>
        <w:t>ant</w:t>
      </w:r>
      <w:proofErr w:type="spellEnd"/>
      <w:r w:rsidR="00CA6468">
        <w:rPr>
          <w:rFonts w:ascii="Arial" w:hAnsi="Arial" w:cs="Arial"/>
          <w:sz w:val="24"/>
          <w:szCs w:val="24"/>
        </w:rPr>
        <w:t xml:space="preserve">-tracking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w:t>
      </w:r>
      <w:proofErr w:type="spellStart"/>
      <w:r>
        <w:rPr>
          <w:rFonts w:ascii="Arial" w:hAnsi="Arial" w:cs="Arial"/>
          <w:sz w:val="24"/>
          <w:szCs w:val="24"/>
        </w:rPr>
        <w:t>de</w:t>
      </w:r>
      <w:proofErr w:type="spellEnd"/>
      <w:r>
        <w:rPr>
          <w:rFonts w:ascii="Arial" w:hAnsi="Arial" w:cs="Arial"/>
          <w:sz w:val="24"/>
          <w:szCs w:val="24"/>
        </w:rPr>
        <w:t xml:space="preserv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proofErr w:type="spellStart"/>
      <w:r w:rsidRPr="0041224B">
        <w:rPr>
          <w:rFonts w:ascii="Arial" w:eastAsia="Times New Roman" w:hAnsi="Arial" w:cs="Arial"/>
          <w:b/>
          <w:sz w:val="24"/>
          <w:szCs w:val="24"/>
        </w:rPr>
        <w:lastRenderedPageBreak/>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w:t>
      </w:r>
      <w:proofErr w:type="spellStart"/>
      <w:r w:rsidRPr="00B17B53">
        <w:rPr>
          <w:rFonts w:ascii="Arial" w:eastAsia="Times New Roman" w:hAnsi="Arial" w:cs="Arial"/>
          <w:sz w:val="24"/>
          <w:szCs w:val="24"/>
        </w:rPr>
        <w:t>geoestatístico</w:t>
      </w:r>
      <w:proofErr w:type="spellEnd"/>
      <w:r w:rsidRPr="00B17B53">
        <w:rPr>
          <w:rFonts w:ascii="Arial" w:eastAsia="Times New Roman" w:hAnsi="Arial" w:cs="Arial"/>
          <w:sz w:val="24"/>
          <w:szCs w:val="24"/>
        </w:rPr>
        <w:t xml:space="preserve">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9427A9"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9427A9"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9427A9"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w:t>
      </w:r>
      <w:proofErr w:type="spellStart"/>
      <w:r w:rsidR="00D7096C">
        <w:rPr>
          <w:rFonts w:ascii="Arial" w:eastAsia="Times New Roman" w:hAnsi="Arial" w:cs="Arial"/>
          <w:sz w:val="24"/>
          <w:szCs w:val="24"/>
        </w:rPr>
        <w:t>Sönico</w:t>
      </w:r>
      <w:proofErr w:type="spellEnd"/>
      <w:r w:rsidR="00D7096C">
        <w:rPr>
          <w:rFonts w:ascii="Arial" w:eastAsia="Times New Roman" w:hAnsi="Arial" w:cs="Arial"/>
          <w:sz w:val="24"/>
          <w:szCs w:val="24"/>
        </w:rPr>
        <w:t>,</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w:t>
      </w:r>
      <w:proofErr w:type="spellStart"/>
      <w:r w:rsidR="00D7096C">
        <w:rPr>
          <w:rFonts w:ascii="Arial" w:eastAsia="Times New Roman" w:hAnsi="Arial" w:cs="Arial"/>
          <w:sz w:val="24"/>
          <w:szCs w:val="24"/>
        </w:rPr>
        <w:t>Saaturação</w:t>
      </w:r>
      <w:proofErr w:type="spellEnd"/>
      <w:r w:rsidR="00D7096C">
        <w:rPr>
          <w:rFonts w:ascii="Arial" w:eastAsia="Times New Roman" w:hAnsi="Arial" w:cs="Arial"/>
          <w:sz w:val="24"/>
          <w:szCs w:val="24"/>
        </w:rPr>
        <w:t xml:space="preserve">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w:t>
      </w:r>
      <w:r w:rsidR="00D7096C">
        <w:rPr>
          <w:rFonts w:ascii="Arial" w:eastAsia="Times New Roman" w:hAnsi="Arial" w:cs="Arial"/>
          <w:sz w:val="24"/>
          <w:szCs w:val="24"/>
        </w:rPr>
        <w:t xml:space="preserve"> open </w:t>
      </w:r>
      <w:proofErr w:type="spellStart"/>
      <w:r w:rsidR="00D7096C">
        <w:rPr>
          <w:rFonts w:ascii="Arial" w:eastAsia="Times New Roman" w:hAnsi="Arial" w:cs="Arial"/>
          <w:sz w:val="24"/>
          <w:szCs w:val="24"/>
        </w:rPr>
        <w:t>source</w:t>
      </w:r>
      <w:proofErr w:type="spellEnd"/>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w:t>
      </w:r>
      <w:proofErr w:type="spellStart"/>
      <w:r w:rsidR="006E6CA8" w:rsidRPr="00B17B53">
        <w:rPr>
          <w:rFonts w:ascii="Arial" w:eastAsia="Times New Roman" w:hAnsi="Arial" w:cs="Arial"/>
          <w:sz w:val="24"/>
          <w:szCs w:val="24"/>
        </w:rPr>
        <w:t>Means</w:t>
      </w:r>
      <w:proofErr w:type="spellEnd"/>
      <w:r w:rsidR="006E6CA8" w:rsidRPr="00B17B53">
        <w:rPr>
          <w:rFonts w:ascii="Arial" w:eastAsia="Times New Roman" w:hAnsi="Arial" w:cs="Arial"/>
          <w:sz w:val="24"/>
          <w:szCs w:val="24"/>
        </w:rPr>
        <w:t xml:space="preserve">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w:t>
      </w:r>
      <w:proofErr w:type="spellStart"/>
      <w:r w:rsidR="006E6CA8" w:rsidRPr="00B17B53">
        <w:rPr>
          <w:rFonts w:ascii="Arial" w:eastAsia="Times New Roman" w:hAnsi="Arial" w:cs="Arial"/>
          <w:sz w:val="24"/>
          <w:szCs w:val="24"/>
        </w:rPr>
        <w:t>Scikit-Learn</w:t>
      </w:r>
      <w:proofErr w:type="spellEnd"/>
      <w:r w:rsidR="006E6CA8" w:rsidRPr="00B17B53">
        <w:rPr>
          <w:rFonts w:ascii="Arial" w:eastAsia="Times New Roman" w:hAnsi="Arial" w:cs="Arial"/>
          <w:sz w:val="24"/>
          <w:szCs w:val="24"/>
        </w:rPr>
        <w:t xml:space="preserve"> (Pedregosa et al., 2011)</w:t>
      </w:r>
      <w:r w:rsidR="00024484">
        <w:rPr>
          <w:rFonts w:ascii="Arial" w:eastAsia="Times New Roman" w:hAnsi="Arial" w:cs="Arial"/>
          <w:sz w:val="24"/>
          <w:szCs w:val="24"/>
        </w:rPr>
        <w:t>, fonte do algoritmo de K-</w:t>
      </w:r>
      <w:proofErr w:type="spellStart"/>
      <w:r w:rsidR="00024484">
        <w:rPr>
          <w:rFonts w:ascii="Arial" w:eastAsia="Times New Roman" w:hAnsi="Arial" w:cs="Arial"/>
          <w:sz w:val="24"/>
          <w:szCs w:val="24"/>
        </w:rPr>
        <w:t>Means</w:t>
      </w:r>
      <w:proofErr w:type="spellEnd"/>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fraturamento.</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fraturamento,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-Tracking como uma medida do grau de fraturamento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 xml:space="preserve">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 xml:space="preserve">-tracking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fraturament</w:t>
      </w:r>
      <w:r w:rsidR="00A97B61">
        <w:rPr>
          <w:rFonts w:ascii="Arial" w:hAnsi="Arial" w:cs="Arial"/>
          <w:sz w:val="24"/>
          <w:szCs w:val="24"/>
        </w:rPr>
        <w:t>o</w:t>
      </w:r>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w:t>
      </w:r>
      <w:proofErr w:type="spellStart"/>
      <w:r w:rsidR="00476EA3" w:rsidRPr="00476EA3">
        <w:rPr>
          <w:rFonts w:ascii="Arial" w:hAnsi="Arial" w:cs="Arial"/>
          <w:sz w:val="24"/>
          <w:szCs w:val="24"/>
        </w:rPr>
        <w:t>Bachrach</w:t>
      </w:r>
      <w:proofErr w:type="spellEnd"/>
      <w:r w:rsidR="00476EA3" w:rsidRPr="00476EA3">
        <w:rPr>
          <w:rFonts w:ascii="Arial" w:hAnsi="Arial" w:cs="Arial"/>
          <w:sz w:val="24"/>
          <w:szCs w:val="24"/>
        </w:rPr>
        <w:t>,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 xml:space="preserve">de altos valores de </w:t>
      </w:r>
      <w:proofErr w:type="spellStart"/>
      <w:r>
        <w:rPr>
          <w:rFonts w:ascii="Arial" w:hAnsi="Arial" w:cs="Arial"/>
          <w:b/>
          <w:color w:val="000000" w:themeColor="text1"/>
          <w:sz w:val="20"/>
          <w:szCs w:val="20"/>
        </w:rPr>
        <w:t>Ant</w:t>
      </w:r>
      <w:proofErr w:type="spellEnd"/>
      <w:r>
        <w:rPr>
          <w:rFonts w:ascii="Arial" w:hAnsi="Arial" w:cs="Arial"/>
          <w:b/>
          <w:color w:val="000000" w:themeColor="text1"/>
          <w:sz w:val="20"/>
          <w:szCs w:val="20"/>
        </w:rPr>
        <w: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-Tracking superior tanto à Zona Norte quanto a região não reservatóri</w:t>
      </w:r>
      <w:r>
        <w:rPr>
          <w:rFonts w:ascii="Arial" w:hAnsi="Arial" w:cs="Arial"/>
          <w:b/>
          <w:color w:val="auto"/>
          <w:sz w:val="20"/>
          <w:szCs w:val="20"/>
        </w:rPr>
        <w:t>o</w:t>
      </w:r>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fraturamento consideravelmente maior que a Zona Norte (659). De maneira similar, na Zona Norte células com altos valores de </w:t>
      </w:r>
      <w:proofErr w:type="spellStart"/>
      <w:r>
        <w:rPr>
          <w:rFonts w:ascii="Arial" w:hAnsi="Arial" w:cs="Arial"/>
          <w:sz w:val="24"/>
          <w:szCs w:val="24"/>
        </w:rPr>
        <w:t>ant</w:t>
      </w:r>
      <w:proofErr w:type="spellEnd"/>
      <w:r>
        <w:rPr>
          <w:rFonts w:ascii="Arial" w:hAnsi="Arial" w:cs="Arial"/>
          <w:sz w:val="24"/>
          <w:szCs w:val="24"/>
        </w:rPr>
        <w:t xml:space="preserve">-tracking ocorrem primariamente associadas a feições lineares de grande escala enquanto na Zona Sul estes valores ocorrem de maneira disseminada ao longo do volume. O valor médio de </w:t>
      </w:r>
      <w:proofErr w:type="spellStart"/>
      <w:r>
        <w:rPr>
          <w:rFonts w:ascii="Arial" w:hAnsi="Arial" w:cs="Arial"/>
          <w:sz w:val="24"/>
          <w:szCs w:val="24"/>
        </w:rPr>
        <w:t>ant</w:t>
      </w:r>
      <w:proofErr w:type="spellEnd"/>
      <w:r>
        <w:rPr>
          <w:rFonts w:ascii="Arial" w:hAnsi="Arial" w:cs="Arial"/>
          <w:sz w:val="24"/>
          <w:szCs w:val="24"/>
        </w:rPr>
        <w:t xml:space="preserve">-tracking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 xml:space="preserve">Os resultados obtidos corroboram com as observações de </w:t>
      </w:r>
      <w:proofErr w:type="spellStart"/>
      <w:r>
        <w:rPr>
          <w:rFonts w:ascii="Arial" w:hAnsi="Arial" w:cs="Arial"/>
          <w:sz w:val="24"/>
          <w:szCs w:val="24"/>
        </w:rPr>
        <w:t>Tomaso</w:t>
      </w:r>
      <w:proofErr w:type="spellEnd"/>
      <w:r>
        <w:rPr>
          <w:rFonts w:ascii="Arial" w:hAnsi="Arial" w:cs="Arial"/>
          <w:sz w:val="24"/>
          <w:szCs w:val="24"/>
        </w:rPr>
        <w:t xml:space="preserve">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w:t>
      </w:r>
      <w:proofErr w:type="spellStart"/>
      <w:r w:rsidR="0045548B">
        <w:rPr>
          <w:rFonts w:ascii="Arial" w:hAnsi="Arial" w:cs="Arial"/>
          <w:sz w:val="24"/>
          <w:szCs w:val="24"/>
        </w:rPr>
        <w:t>cut-offs</w:t>
      </w:r>
      <w:proofErr w:type="spellEnd"/>
      <w:r w:rsidR="0045548B">
        <w:rPr>
          <w:rFonts w:ascii="Arial" w:hAnsi="Arial" w:cs="Arial"/>
          <w:sz w:val="24"/>
          <w:szCs w:val="24"/>
        </w:rPr>
        <w:t xml:space="preserve"> mínimos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e analisar a quais zonas cada célula pertence é possível representar de maneira simples este zoneamento (Figura 22). As células com valores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fraturamento, 60% a 75% dos valores encontram-se na Zona Sul. Para os poucos (n = 151) valores positivos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222DAA1" w14:textId="77777777"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por média móvel apresentado anteriormente (Figura 12), os dados de petrofísica de poço foram transformados da escala de poço para a escala do modelo estrutural,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células que interceptam os poços e criando grids colunares. A distribuição estatística dos dados antes e depois da transformação é utilizada para avaliar o resultado do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Em seguida é feito o modelamento </w:t>
      </w:r>
      <w:proofErr w:type="spellStart"/>
      <w:r w:rsidRPr="000379D6">
        <w:rPr>
          <w:rFonts w:ascii="Arial" w:hAnsi="Arial" w:cs="Arial"/>
          <w:sz w:val="24"/>
          <w:szCs w:val="24"/>
        </w:rPr>
        <w:t>geoestatístico</w:t>
      </w:r>
      <w:proofErr w:type="spellEnd"/>
      <w:r w:rsidRPr="000379D6">
        <w:rPr>
          <w:rFonts w:ascii="Arial" w:hAnsi="Arial" w:cs="Arial"/>
          <w:sz w:val="24"/>
          <w:szCs w:val="24"/>
        </w:rPr>
        <w:t xml:space="preserve"> destas propriedades para as zonas </w:t>
      </w:r>
      <w:proofErr w:type="spellStart"/>
      <w:r w:rsidRPr="000379D6">
        <w:rPr>
          <w:rFonts w:ascii="Arial" w:hAnsi="Arial" w:cs="Arial"/>
          <w:sz w:val="24"/>
          <w:szCs w:val="24"/>
        </w:rPr>
        <w:t>inter-poços</w:t>
      </w:r>
      <w:proofErr w:type="spellEnd"/>
      <w:r w:rsidRPr="000379D6">
        <w:rPr>
          <w:rFonts w:ascii="Arial" w:hAnsi="Arial" w:cs="Arial"/>
          <w:sz w:val="24"/>
          <w:szCs w:val="24"/>
        </w:rPr>
        <w:t xml:space="preserve">,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o modelo de reservatório com valores para as medidas petrofísicas de poço.</w:t>
      </w:r>
    </w:p>
    <w:p w14:paraId="778FE36F" w14:textId="700919B5"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0379D6">
        <w:rPr>
          <w:rFonts w:ascii="Arial" w:hAnsi="Arial" w:cs="Arial"/>
          <w:sz w:val="24"/>
          <w:szCs w:val="24"/>
          <w:u w:val="single"/>
        </w:rPr>
        <w:t>baseados</w:t>
      </w:r>
      <w:r w:rsidRPr="000379D6">
        <w:rPr>
          <w:rFonts w:ascii="Arial" w:hAnsi="Arial" w:cs="Arial"/>
          <w:sz w:val="24"/>
          <w:szCs w:val="24"/>
        </w:rPr>
        <w:t xml:space="preserve"> em dados de petrofísica de poço. As propriedades foram modeladas utilizando o algoritmo de GRFS (</w:t>
      </w:r>
      <w:proofErr w:type="spellStart"/>
      <w:r w:rsidRPr="000379D6">
        <w:rPr>
          <w:rFonts w:ascii="Arial" w:hAnsi="Arial" w:cs="Arial"/>
          <w:sz w:val="24"/>
          <w:szCs w:val="24"/>
        </w:rPr>
        <w:t>Gaussian</w:t>
      </w:r>
      <w:proofErr w:type="spellEnd"/>
      <w:r w:rsidRPr="000379D6">
        <w:rPr>
          <w:rFonts w:ascii="Arial" w:hAnsi="Arial" w:cs="Arial"/>
          <w:sz w:val="24"/>
          <w:szCs w:val="24"/>
        </w:rPr>
        <w:t xml:space="preserve"> </w:t>
      </w:r>
      <w:proofErr w:type="spellStart"/>
      <w:r w:rsidRPr="000379D6">
        <w:rPr>
          <w:rFonts w:ascii="Arial" w:hAnsi="Arial" w:cs="Arial"/>
          <w:sz w:val="24"/>
          <w:szCs w:val="24"/>
        </w:rPr>
        <w:t>Random</w:t>
      </w:r>
      <w:proofErr w:type="spellEnd"/>
      <w:r w:rsidRPr="000379D6">
        <w:rPr>
          <w:rFonts w:ascii="Arial" w:hAnsi="Arial" w:cs="Arial"/>
          <w:sz w:val="24"/>
          <w:szCs w:val="24"/>
        </w:rPr>
        <w:t xml:space="preserve"> </w:t>
      </w:r>
      <w:proofErr w:type="spellStart"/>
      <w:r w:rsidRPr="000379D6">
        <w:rPr>
          <w:rFonts w:ascii="Arial" w:hAnsi="Arial" w:cs="Arial"/>
          <w:sz w:val="24"/>
          <w:szCs w:val="24"/>
        </w:rPr>
        <w:t>Function</w:t>
      </w:r>
      <w:proofErr w:type="spellEnd"/>
      <w:r w:rsidRPr="000379D6">
        <w:rPr>
          <w:rFonts w:ascii="Arial" w:hAnsi="Arial" w:cs="Arial"/>
          <w:sz w:val="24"/>
          <w:szCs w:val="24"/>
        </w:rPr>
        <w:t xml:space="preserve"> </w:t>
      </w:r>
      <w:proofErr w:type="spellStart"/>
      <w:r w:rsidRPr="000379D6">
        <w:rPr>
          <w:rFonts w:ascii="Arial" w:hAnsi="Arial" w:cs="Arial"/>
          <w:sz w:val="24"/>
          <w:szCs w:val="24"/>
        </w:rPr>
        <w:t>Simulation</w:t>
      </w:r>
      <w:proofErr w:type="spellEnd"/>
      <w:r w:rsidRPr="000379D6">
        <w:rPr>
          <w:rFonts w:ascii="Arial" w:hAnsi="Arial" w:cs="Arial"/>
          <w:sz w:val="24"/>
          <w:szCs w:val="24"/>
        </w:rPr>
        <w:t xml:space="preserve">, GRFS), onde valores na porção 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modelados usando técnicas </w:t>
      </w:r>
      <w:proofErr w:type="spellStart"/>
      <w:r w:rsidRPr="000379D6">
        <w:rPr>
          <w:rFonts w:ascii="Arial" w:hAnsi="Arial" w:cs="Arial"/>
          <w:sz w:val="24"/>
          <w:szCs w:val="24"/>
        </w:rPr>
        <w:t>krigagem</w:t>
      </w:r>
      <w:proofErr w:type="spellEnd"/>
      <w:r w:rsidRPr="000379D6">
        <w:rPr>
          <w:rFonts w:ascii="Arial" w:hAnsi="Arial" w:cs="Arial"/>
          <w:sz w:val="24"/>
          <w:szCs w:val="24"/>
        </w:rPr>
        <w:t xml:space="preserve"> e valores na porção não </w:t>
      </w:r>
      <w:r w:rsidRPr="000379D6">
        <w:rPr>
          <w:rFonts w:ascii="Arial" w:hAnsi="Arial" w:cs="Arial"/>
          <w:sz w:val="24"/>
          <w:szCs w:val="24"/>
        </w:rPr>
        <w:lastRenderedPageBreak/>
        <w:t xml:space="preserve">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definidos por uma simulação condicional baseada na distribuição dos dados de entrada.</w:t>
      </w:r>
    </w:p>
    <w:p w14:paraId="62183285" w14:textId="46D7F83D" w:rsidR="00366C5C" w:rsidRDefault="00A37E15" w:rsidP="00366C5C">
      <w:pPr>
        <w:spacing w:line="360" w:lineRule="auto"/>
        <w:ind w:firstLine="708"/>
        <w:jc w:val="both"/>
        <w:rPr>
          <w:rFonts w:ascii="Arial" w:hAnsi="Arial" w:cs="Arial"/>
          <w:sz w:val="24"/>
          <w:szCs w:val="24"/>
        </w:rPr>
      </w:pPr>
      <w:bookmarkStart w:id="53"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w:t>
      </w:r>
      <w:proofErr w:type="spellStart"/>
      <w:r w:rsidR="000379D6">
        <w:rPr>
          <w:rFonts w:ascii="Arial" w:hAnsi="Arial" w:cs="Arial"/>
          <w:sz w:val="24"/>
          <w:szCs w:val="24"/>
        </w:rPr>
        <w:t>upscaling</w:t>
      </w:r>
      <w:proofErr w:type="spellEnd"/>
      <w:r w:rsidR="000379D6">
        <w:rPr>
          <w:rFonts w:ascii="Arial" w:hAnsi="Arial" w:cs="Arial"/>
          <w:sz w:val="24"/>
          <w:szCs w:val="24"/>
        </w:rPr>
        <w:t xml:space="preserve">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3"/>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4"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4"/>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691FE615">
            <wp:extent cx="5689337" cy="7638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689337" cy="763813"/>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Pr="009035F3" w:rsidRDefault="00FC01FE" w:rsidP="00366C5C">
      <w:pPr>
        <w:spacing w:line="360" w:lineRule="auto"/>
        <w:ind w:firstLine="708"/>
        <w:jc w:val="both"/>
        <w:rPr>
          <w:rFonts w:ascii="Arial" w:hAnsi="Arial" w:cs="Arial"/>
          <w:sz w:val="24"/>
          <w:szCs w:val="24"/>
          <w:u w:val="single"/>
        </w:rPr>
      </w:pPr>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25E89370" w14:textId="77777777" w:rsidR="007B10EB" w:rsidRPr="007B10EB"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 </w:t>
      </w:r>
      <w:proofErr w:type="spellStart"/>
      <w:r w:rsidRPr="007B10EB">
        <w:rPr>
          <w:rFonts w:ascii="Arial" w:eastAsia="Times New Roman" w:hAnsi="Arial" w:cs="Arial"/>
          <w:bCs/>
          <w:i/>
          <w:iCs/>
          <w:sz w:val="24"/>
          <w:szCs w:val="24"/>
        </w:rPr>
        <w:t>upscaling</w:t>
      </w:r>
      <w:proofErr w:type="spellEnd"/>
      <w:r w:rsidRPr="007B10EB">
        <w:rPr>
          <w:rFonts w:ascii="Arial" w:eastAsia="Times New Roman" w:hAnsi="Arial" w:cs="Arial"/>
          <w:bCs/>
          <w:sz w:val="24"/>
          <w:szCs w:val="24"/>
        </w:rPr>
        <w:t xml:space="preserve"> dos dados de GR, quando comparado aos dados de poço subestima a quantidade de células com valores entre 30 e 40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no entanto, a distribuição dos dados de poço é mantida de maneira geral (Figura 23). Nas visualizações em mapa e perfil é possível observar uma transição de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em células mais profundas próximas ao contato óleo-água para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para células mais próximas ao horizonte do topo do Quissamã. Os valores médios de GR são similares na porção sul e norte do reservatório com coeficientes de variação similares nas 2 zonas (Tabela 6). É possível diferenciar a variância nas duas zonas na visão em perfil, onde a porção norte mostra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intercalados com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enquanto a porção sul apresenta transição mais relacionada com a profundidade (Figura 24).</w:t>
      </w:r>
    </w:p>
    <w:p w14:paraId="69F7EF18" w14:textId="6065977A" w:rsidR="003258A5"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lastRenderedPageBreak/>
        <w:t xml:space="preserve">Os resultados do modelamento de dados de raio gama sugerem a ocorrência de fácies folhelho ou granulometrias mais finas cobrindo e se intercalando às sequências carbonáticas do Quissamã, em especial em regiões próximas ao topo da Formação, sugerindo </w:t>
      </w:r>
      <w:proofErr w:type="spellStart"/>
      <w:r w:rsidRPr="007B10EB">
        <w:rPr>
          <w:rFonts w:ascii="Arial" w:eastAsia="Times New Roman" w:hAnsi="Arial" w:cs="Arial"/>
          <w:bCs/>
          <w:sz w:val="24"/>
          <w:szCs w:val="24"/>
        </w:rPr>
        <w:t>inicio</w:t>
      </w:r>
      <w:proofErr w:type="spellEnd"/>
      <w:r w:rsidRPr="007B10EB">
        <w:rPr>
          <w:rFonts w:ascii="Arial" w:eastAsia="Times New Roman" w:hAnsi="Arial" w:cs="Arial"/>
          <w:bCs/>
          <w:sz w:val="24"/>
          <w:szCs w:val="24"/>
        </w:rPr>
        <w:t xml:space="preserve"> de transição para a Formação Outeiro. Ao mesmo tempo, os valores mais altos associados ao alto estrutural na porção sul do reservatório também podem estar associados a presença de hidrocarbonetos.</w:t>
      </w:r>
    </w:p>
    <w:p w14:paraId="785830A1" w14:textId="77777777" w:rsidR="00EB32C0" w:rsidRDefault="00EB32C0" w:rsidP="007B10EB">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7C65C518" w:rsidR="003258A5" w:rsidRPr="001A2263" w:rsidRDefault="003258A5" w:rsidP="003258A5">
      <w:pPr>
        <w:pStyle w:val="Legenda"/>
        <w:rPr>
          <w:rFonts w:ascii="Arial" w:hAnsi="Arial" w:cs="Arial"/>
          <w:b/>
          <w:color w:val="auto"/>
          <w:sz w:val="20"/>
          <w:szCs w:val="20"/>
        </w:rPr>
      </w:pPr>
      <w:bookmarkStart w:id="55"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5"/>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xml:space="preserv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subestimam valores em torno de 30 </w:t>
      </w:r>
      <w:proofErr w:type="spellStart"/>
      <w:r>
        <w:rPr>
          <w:rFonts w:ascii="Arial" w:hAnsi="Arial" w:cs="Arial"/>
          <w:b/>
          <w:color w:val="auto"/>
          <w:sz w:val="20"/>
          <w:szCs w:val="20"/>
        </w:rPr>
        <w:t>gAPI</w:t>
      </w:r>
      <w:proofErr w:type="spellEnd"/>
      <w:r w:rsidR="00EF56DE">
        <w:rPr>
          <w:rFonts w:ascii="Arial" w:hAnsi="Arial" w:cs="Arial"/>
          <w:b/>
          <w:color w:val="auto"/>
          <w:sz w:val="20"/>
          <w:szCs w:val="20"/>
        </w:rPr>
        <w:t xml:space="preserve"> mas honram de maneira geral a distribuição original dos dados de poço. Dados modelados (em azul) mantem a distribuição dos dados de entrada (em </w:t>
      </w:r>
      <w:r w:rsidR="009427A9">
        <w:rPr>
          <w:rFonts w:ascii="Arial" w:hAnsi="Arial" w:cs="Arial"/>
          <w:b/>
          <w:color w:val="auto"/>
          <w:sz w:val="20"/>
          <w:szCs w:val="20"/>
        </w:rPr>
        <w:t>vermelho</w:t>
      </w:r>
      <w:r w:rsidR="00EF56DE">
        <w:rPr>
          <w:rFonts w:ascii="Arial" w:hAnsi="Arial" w:cs="Arial"/>
          <w:b/>
          <w:color w:val="auto"/>
          <w:sz w:val="20"/>
          <w:szCs w:val="20"/>
        </w:rPr>
        <w:t>).</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570CA2EF" w:rsidR="003258A5" w:rsidRPr="00EB05BD" w:rsidRDefault="003258A5" w:rsidP="00EB05BD">
      <w:pPr>
        <w:pStyle w:val="Legenda"/>
        <w:jc w:val="center"/>
        <w:rPr>
          <w:rFonts w:ascii="Arial" w:hAnsi="Arial" w:cs="Arial"/>
          <w:b/>
          <w:color w:val="auto"/>
          <w:sz w:val="20"/>
        </w:rPr>
      </w:pPr>
      <w:bookmarkStart w:id="56"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F4CE2">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6"/>
      <w:r w:rsidR="00EF56DE">
        <w:rPr>
          <w:rFonts w:ascii="Arial" w:hAnsi="Arial" w:cs="Arial"/>
          <w:b/>
          <w:color w:val="auto"/>
          <w:sz w:val="20"/>
        </w:rPr>
        <w:t>, sugerindo transição dos carbonatos da Formação Quissamã para fácies de menor granulometria como folhelhos.</w:t>
      </w:r>
    </w:p>
    <w:p w14:paraId="356890D1" w14:textId="50E883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p>
    <w:p w14:paraId="1DA92F60" w14:textId="77777777" w:rsidR="007B10EB" w:rsidRDefault="00366C5C" w:rsidP="007B10EB">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7B10EB" w:rsidRPr="007B10EB">
        <w:rPr>
          <w:rFonts w:ascii="Arial" w:eastAsia="Times New Roman" w:hAnsi="Arial" w:cs="Arial"/>
          <w:bCs/>
          <w:sz w:val="24"/>
          <w:szCs w:val="24"/>
        </w:rPr>
        <w:t xml:space="preserve">Os dados de perfil sônico apresentam uma distribuição aproximadamente normal com média em torno de 80 </w:t>
      </w:r>
      <w:proofErr w:type="spellStart"/>
      <w:r w:rsidR="007B10EB" w:rsidRPr="007B10EB">
        <w:rPr>
          <w:rFonts w:ascii="Arial" w:eastAsia="Times New Roman" w:hAnsi="Arial" w:cs="Arial"/>
          <w:bCs/>
          <w:sz w:val="24"/>
          <w:szCs w:val="24"/>
        </w:rPr>
        <w:t>μs</w:t>
      </w:r>
      <w:proofErr w:type="spellEnd"/>
      <w:r w:rsidR="007B10EB" w:rsidRPr="007B10EB">
        <w:rPr>
          <w:rFonts w:ascii="Arial" w:eastAsia="Times New Roman" w:hAnsi="Arial" w:cs="Arial"/>
          <w:bCs/>
          <w:sz w:val="24"/>
          <w:szCs w:val="24"/>
        </w:rPr>
        <w:t>/</w:t>
      </w:r>
      <w:proofErr w:type="spellStart"/>
      <w:r w:rsidR="007B10EB" w:rsidRPr="007B10EB">
        <w:rPr>
          <w:rFonts w:ascii="Arial" w:eastAsia="Times New Roman" w:hAnsi="Arial" w:cs="Arial"/>
          <w:bCs/>
          <w:sz w:val="24"/>
          <w:szCs w:val="24"/>
        </w:rPr>
        <w:t>ft</w:t>
      </w:r>
      <w:proofErr w:type="spellEnd"/>
      <w:r w:rsidR="007B10EB" w:rsidRPr="007B10EB">
        <w:rPr>
          <w:rFonts w:ascii="Arial" w:eastAsia="Times New Roman" w:hAnsi="Arial" w:cs="Arial"/>
          <w:bCs/>
          <w:sz w:val="24"/>
          <w:szCs w:val="24"/>
        </w:rPr>
        <w:t xml:space="preserve"> tanto para os dados de entrada como para os dados após </w:t>
      </w:r>
      <w:proofErr w:type="spellStart"/>
      <w:r w:rsidR="007B10EB" w:rsidRPr="007B10EB">
        <w:rPr>
          <w:rFonts w:ascii="Arial" w:eastAsia="Times New Roman" w:hAnsi="Arial" w:cs="Arial"/>
          <w:bCs/>
          <w:sz w:val="24"/>
          <w:szCs w:val="24"/>
        </w:rPr>
        <w:t>upscaling</w:t>
      </w:r>
      <w:proofErr w:type="spellEnd"/>
      <w:r w:rsidR="007B10EB" w:rsidRPr="007B10EB">
        <w:rPr>
          <w:rFonts w:ascii="Arial" w:eastAsia="Times New Roman" w:hAnsi="Arial" w:cs="Arial"/>
          <w:bCs/>
          <w:sz w:val="24"/>
          <w:szCs w:val="24"/>
        </w:rPr>
        <w:t xml:space="preserve"> e modelados (Figura 25). Nos modelos em mapa e perfil se observa assim como nos modelos de raio gama uma transição de baixos valores próximos ao contato óleo-água para altos valores próximos ao topo do Quissamã, bem como variância nos valores da zona norte relacionada a intercalação de camadas de altos e baixos valores (Figura 26).</w:t>
      </w:r>
    </w:p>
    <w:p w14:paraId="77FCD3E1" w14:textId="196204FA" w:rsidR="00366C5C"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Os valores obtidos para o modelo variam primariamente entre 60 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valores consideravelmente superiores aos valores típicos entre 40 e 50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para minerais carbonáticos como calcita e dolomita, sendo valores esperados para filosilicatos como feldspatos ou argilas. O perfil sônico, no entanto, é altamente influenciado pela porosidade, uma vez que a resposta de fluídos no perfil é muito alta, assim provavelmente explicando os valores observados. Ao mesmo tempo, os valores em torno de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próximos ao topo do Quissamã podem fornecer evidência de transição de fácies, embora os valores observados associados ao alto estrutural na região sudoeste do reservatório podem sugerir altas porosidades.</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4020F959"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do perfil sônico (DT).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a distribuição original aproximadamente normal dos dados de poço.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65715A9B"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74A37A3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p>
    <w:p w14:paraId="7C3DF476" w14:textId="77777777" w:rsidR="00EB32C0" w:rsidRPr="00EB32C0"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Os modelos de Densidade apresentam valores principalmente concentrados entre 2,3 g/cm³ e 2,5 g/cm³, com valores mínimos de 2,1 g/cm³ e máximos de 2,7g/cm³ e baixa variância (Figura 27). Assim como os dados derivados de perfil sônico, dados de densidade são largamente dependentes da porosidade da rocha, sendo especialmente difícil a inferência de litologias pelo uso exclusivo dos dados de densidade devido a densidade aproximadamente similar da maior parte dos minerais encontrados comumente em reservatórios carbonáticos da Bacia de Santos. Assim como para os outros modelos, a variância dos dados na zona norte é bastante superior à variância na zona sul, embora esta diferencia de variância não seja evidente nas visualizações em mapa e perfil (Figura 28).</w:t>
      </w:r>
    </w:p>
    <w:p w14:paraId="545FDCBA" w14:textId="55939257" w:rsidR="00366C5C"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Na visualização em perfil é possível notar uma região de baixa densidade associada ao alto estrutural na porção sudoeste do reservatório, sugerindo uma região de alta porosidade em meio ao reservatório. Outras camadas de baixa densidade podem ser observadas ao longo do perfil, em especial na região nordeste do modelo, com muitas pequenas intercalações de zonas de baixa densidade com alta densidade, justificando a alta variância observada na Tabela 6 para os dados modelados para a zona norte.</w:t>
      </w:r>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7069649C"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91E8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densidade (RHOB).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e concentram-se em valores entre 2,3 g/cm³ e 2,5 g/cm³.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7832F18A"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91E8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w:t>
      </w:r>
      <w:r w:rsidR="00232DA0">
        <w:rPr>
          <w:rFonts w:ascii="Arial" w:hAnsi="Arial" w:cs="Arial"/>
          <w:b/>
          <w:color w:val="auto"/>
          <w:sz w:val="20"/>
        </w:rPr>
        <w:t>alta</w:t>
      </w:r>
      <w:r w:rsidR="00FA2D0F">
        <w:rPr>
          <w:rFonts w:ascii="Arial" w:hAnsi="Arial" w:cs="Arial"/>
          <w:b/>
          <w:color w:val="auto"/>
          <w:sz w:val="20"/>
        </w:rPr>
        <w:t xml:space="preserve">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3042C50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p>
    <w:p w14:paraId="16B7CB90" w14:textId="695E3E77" w:rsidR="00366C5C" w:rsidRDefault="001A24A3" w:rsidP="00366C5C">
      <w:pPr>
        <w:spacing w:before="240" w:line="360" w:lineRule="auto"/>
        <w:ind w:firstLine="708"/>
        <w:jc w:val="both"/>
        <w:outlineLvl w:val="2"/>
        <w:rPr>
          <w:rFonts w:ascii="Arial" w:eastAsia="Times New Roman" w:hAnsi="Arial" w:cs="Arial"/>
          <w:bCs/>
          <w:sz w:val="24"/>
          <w:szCs w:val="24"/>
        </w:rPr>
      </w:pPr>
      <w:r w:rsidRPr="001A24A3">
        <w:rPr>
          <w:rFonts w:ascii="Arial" w:eastAsia="Times New Roman" w:hAnsi="Arial" w:cs="Arial"/>
          <w:bCs/>
          <w:sz w:val="24"/>
          <w:szCs w:val="24"/>
        </w:rPr>
        <w:t xml:space="preserve">Os dados de porosidade efetiva mostram valores distribuídos de forma aproximadamente normal centrados em valores em torno de 20%, com valores mínimos próximos de 0 e máximos próximos de 50%, e assim como para os outros modelos, o método de </w:t>
      </w:r>
      <w:proofErr w:type="spellStart"/>
      <w:r w:rsidRPr="001A24A3">
        <w:rPr>
          <w:rFonts w:ascii="Arial" w:eastAsia="Times New Roman" w:hAnsi="Arial" w:cs="Arial"/>
          <w:bCs/>
          <w:sz w:val="24"/>
          <w:szCs w:val="24"/>
        </w:rPr>
        <w:t>upscaling</w:t>
      </w:r>
      <w:proofErr w:type="spellEnd"/>
      <w:r w:rsidRPr="001A24A3">
        <w:rPr>
          <w:rFonts w:ascii="Arial" w:eastAsia="Times New Roman" w:hAnsi="Arial" w:cs="Arial"/>
          <w:bCs/>
          <w:sz w:val="24"/>
          <w:szCs w:val="24"/>
        </w:rPr>
        <w:t xml:space="preserve"> honra esta distribuição (Figura 29). Na visualização em mapa é possível observar valores primariamente em torno de 20% na superfície do Quissamã com algumas zonas de baixa porosidade. Na visão em perfil é possível notar duas zonas principais de alta porosidade, uma zona associada ao alto estrutural da porção sudoeste do reservatório e outra zona na porção nordeste associada a um pico de 50% de porosidade.</w:t>
      </w:r>
    </w:p>
    <w:p w14:paraId="5F8F475A" w14:textId="16B125A9" w:rsidR="001A24A3" w:rsidRDefault="001A24A3" w:rsidP="00366C5C">
      <w:pPr>
        <w:spacing w:before="240" w:line="360" w:lineRule="auto"/>
        <w:ind w:firstLine="708"/>
        <w:jc w:val="both"/>
        <w:outlineLvl w:val="2"/>
        <w:rPr>
          <w:rFonts w:ascii="Arial" w:eastAsia="Times New Roman" w:hAnsi="Arial" w:cs="Arial"/>
          <w:bCs/>
          <w:sz w:val="24"/>
          <w:szCs w:val="24"/>
        </w:rPr>
      </w:pPr>
    </w:p>
    <w:p w14:paraId="5001C66D" w14:textId="77777777" w:rsidR="001A24A3" w:rsidRDefault="001A24A3" w:rsidP="001A24A3">
      <w:pPr>
        <w:keepNext/>
        <w:jc w:val="center"/>
      </w:pPr>
      <w:r>
        <w:rPr>
          <w:rFonts w:ascii="Arial" w:hAnsi="Arial" w:cs="Arial"/>
          <w:noProof/>
          <w:sz w:val="24"/>
          <w:szCs w:val="24"/>
        </w:rPr>
        <w:drawing>
          <wp:inline distT="0" distB="0" distL="0" distR="0" wp14:anchorId="5806A6DC" wp14:editId="422C6742">
            <wp:extent cx="4651554" cy="3101036"/>
            <wp:effectExtent l="0" t="0" r="0" b="444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5">
                      <a:extLst>
                        <a:ext uri="{28A0092B-C50C-407E-A947-70E740481C1C}">
                          <a14:useLocalDpi xmlns:a14="http://schemas.microsoft.com/office/drawing/2010/main" val="0"/>
                        </a:ext>
                      </a:extLst>
                    </a:blip>
                    <a:stretch>
                      <a:fillRect/>
                    </a:stretch>
                  </pic:blipFill>
                  <pic:spPr>
                    <a:xfrm>
                      <a:off x="0" y="0"/>
                      <a:ext cx="4651554" cy="3101036"/>
                    </a:xfrm>
                    <a:prstGeom prst="rect">
                      <a:avLst/>
                    </a:prstGeom>
                  </pic:spPr>
                </pic:pic>
              </a:graphicData>
            </a:graphic>
          </wp:inline>
        </w:drawing>
      </w:r>
    </w:p>
    <w:p w14:paraId="6F26266D" w14:textId="462988AA" w:rsidR="001A24A3" w:rsidRPr="001A2263" w:rsidRDefault="001A24A3" w:rsidP="001A24A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A62BA1">
        <w:rPr>
          <w:rFonts w:ascii="Arial" w:hAnsi="Arial" w:cs="Arial"/>
          <w:b/>
          <w:noProof/>
          <w:color w:val="auto"/>
          <w:sz w:val="20"/>
          <w:szCs w:val="20"/>
        </w:rPr>
        <w:t>29</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porosidade efetiva (PHIE).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mantem a distribuição normal concentrada em valores em torno de 20%.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259D13D8" w14:textId="77777777" w:rsidR="001A24A3" w:rsidRDefault="001A24A3" w:rsidP="001A24A3">
      <w:pPr>
        <w:keepNext/>
        <w:jc w:val="center"/>
      </w:pPr>
      <w:r>
        <w:rPr>
          <w:noProof/>
        </w:rPr>
        <w:lastRenderedPageBreak/>
        <w:drawing>
          <wp:inline distT="0" distB="0" distL="0" distR="0" wp14:anchorId="29EB72DF" wp14:editId="63333069">
            <wp:extent cx="5430812" cy="8004207"/>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6">
                      <a:extLst>
                        <a:ext uri="{28A0092B-C50C-407E-A947-70E740481C1C}">
                          <a14:useLocalDpi xmlns:a14="http://schemas.microsoft.com/office/drawing/2010/main" val="0"/>
                        </a:ext>
                      </a:extLst>
                    </a:blip>
                    <a:stretch>
                      <a:fillRect/>
                    </a:stretch>
                  </pic:blipFill>
                  <pic:spPr>
                    <a:xfrm>
                      <a:off x="0" y="0"/>
                      <a:ext cx="5430812" cy="8004207"/>
                    </a:xfrm>
                    <a:prstGeom prst="rect">
                      <a:avLst/>
                    </a:prstGeom>
                  </pic:spPr>
                </pic:pic>
              </a:graphicData>
            </a:graphic>
          </wp:inline>
        </w:drawing>
      </w:r>
    </w:p>
    <w:p w14:paraId="160EFCD8" w14:textId="2514247F" w:rsidR="001A24A3" w:rsidRPr="00ED2558" w:rsidRDefault="001A24A3" w:rsidP="001A24A3">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62BA1">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w:t>
      </w:r>
      <w:r w:rsidR="00232DA0">
        <w:rPr>
          <w:rFonts w:ascii="Arial" w:hAnsi="Arial" w:cs="Arial"/>
          <w:b/>
          <w:color w:val="auto"/>
          <w:sz w:val="20"/>
        </w:rPr>
        <w:t>alta porosidade</w:t>
      </w:r>
      <w:r>
        <w:rPr>
          <w:rFonts w:ascii="Arial" w:hAnsi="Arial" w:cs="Arial"/>
          <w:b/>
          <w:color w:val="auto"/>
          <w:sz w:val="20"/>
        </w:rPr>
        <w:t xml:space="preserve"> associados ao alto estrutural na porção sudoeste do reservatório</w:t>
      </w:r>
      <w:r w:rsidR="00232DA0">
        <w:rPr>
          <w:rFonts w:ascii="Arial" w:hAnsi="Arial" w:cs="Arial"/>
          <w:b/>
          <w:color w:val="auto"/>
          <w:sz w:val="20"/>
        </w:rPr>
        <w:t xml:space="preserve"> </w:t>
      </w:r>
      <w:r>
        <w:rPr>
          <w:rFonts w:ascii="Arial" w:hAnsi="Arial" w:cs="Arial"/>
          <w:b/>
          <w:color w:val="auto"/>
          <w:sz w:val="20"/>
        </w:rPr>
        <w:t>e</w:t>
      </w:r>
      <w:r w:rsidR="00232DA0">
        <w:rPr>
          <w:rFonts w:ascii="Arial" w:hAnsi="Arial" w:cs="Arial"/>
          <w:b/>
          <w:color w:val="auto"/>
          <w:sz w:val="20"/>
        </w:rPr>
        <w:t xml:space="preserve"> a um pico nos valores na porção nordeste</w:t>
      </w:r>
      <w:r>
        <w:rPr>
          <w:rFonts w:ascii="Arial" w:hAnsi="Arial" w:cs="Arial"/>
          <w:b/>
          <w:color w:val="auto"/>
          <w:sz w:val="20"/>
        </w:rPr>
        <w:t>.</w:t>
      </w:r>
    </w:p>
    <w:p w14:paraId="6730AEAA" w14:textId="3301B5C8"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BB6FA0">
        <w:rPr>
          <w:rFonts w:ascii="Arial" w:eastAsia="Times New Roman" w:hAnsi="Arial" w:cs="Arial"/>
          <w:b/>
          <w:sz w:val="24"/>
          <w:szCs w:val="24"/>
        </w:rPr>
        <w:t xml:space="preserve"> saturação de água (SW)</w:t>
      </w:r>
    </w:p>
    <w:p w14:paraId="3449F36B" w14:textId="4D075D57" w:rsidR="00366C5C" w:rsidRDefault="00A62BA1" w:rsidP="00366C5C">
      <w:pPr>
        <w:spacing w:before="240" w:line="360" w:lineRule="auto"/>
        <w:ind w:firstLine="708"/>
        <w:jc w:val="both"/>
        <w:outlineLvl w:val="2"/>
        <w:rPr>
          <w:rFonts w:ascii="Arial" w:eastAsia="Times New Roman" w:hAnsi="Arial" w:cs="Arial"/>
          <w:bCs/>
          <w:sz w:val="24"/>
          <w:szCs w:val="24"/>
        </w:rPr>
      </w:pPr>
      <w:r w:rsidRPr="00A62BA1">
        <w:rPr>
          <w:rFonts w:ascii="Arial" w:eastAsia="Times New Roman" w:hAnsi="Arial" w:cs="Arial"/>
          <w:bCs/>
          <w:sz w:val="24"/>
          <w:szCs w:val="24"/>
        </w:rPr>
        <w:t>A distribuição dos dados de saturação de água ocorre de maneira bastante heterogenia, ainda assim os dados modelados mantem a distribuição original dos dados de poço</w:t>
      </w:r>
      <w:r>
        <w:rPr>
          <w:rFonts w:ascii="Arial" w:eastAsia="Times New Roman" w:hAnsi="Arial" w:cs="Arial"/>
          <w:bCs/>
          <w:sz w:val="24"/>
          <w:szCs w:val="24"/>
        </w:rPr>
        <w:t>, subestimando valores próximos de 100%</w:t>
      </w:r>
      <w:r w:rsidRPr="00A62BA1">
        <w:rPr>
          <w:rFonts w:ascii="Arial" w:eastAsia="Times New Roman" w:hAnsi="Arial" w:cs="Arial"/>
          <w:bCs/>
          <w:sz w:val="24"/>
          <w:szCs w:val="24"/>
        </w:rPr>
        <w:t xml:space="preserve"> (Figura 30). Nota-se na visualização em mapa e perfil que os valores de saturação de água tendem a aumentar bastante próximos ao topo do Quissamã, indicando o fim da zona reservatório. Os valores de baixa saturação ocorrem primariamente associados ao alto estrutural na porção sudoeste do reservatório, mostrando uma grande zona de baixa saturação (Figura 31). Na porção norte do reservatório as regiões de baixa saturação ocorrem de maneira intercalada com regiões de alta saturação.</w:t>
      </w:r>
    </w:p>
    <w:p w14:paraId="183F9084" w14:textId="77777777" w:rsidR="00A62BA1" w:rsidRDefault="00A62BA1" w:rsidP="00A62BA1">
      <w:pPr>
        <w:keepNext/>
        <w:jc w:val="center"/>
      </w:pPr>
      <w:r>
        <w:rPr>
          <w:rFonts w:ascii="Arial" w:hAnsi="Arial" w:cs="Arial"/>
          <w:noProof/>
          <w:sz w:val="24"/>
          <w:szCs w:val="24"/>
        </w:rPr>
        <w:drawing>
          <wp:inline distT="0" distB="0" distL="0" distR="0" wp14:anchorId="2DA817C6" wp14:editId="5A9F54D8">
            <wp:extent cx="4615495" cy="3101036"/>
            <wp:effectExtent l="0" t="0" r="0" b="444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7">
                      <a:extLst>
                        <a:ext uri="{28A0092B-C50C-407E-A947-70E740481C1C}">
                          <a14:useLocalDpi xmlns:a14="http://schemas.microsoft.com/office/drawing/2010/main" val="0"/>
                        </a:ext>
                      </a:extLst>
                    </a:blip>
                    <a:stretch>
                      <a:fillRect/>
                    </a:stretch>
                  </pic:blipFill>
                  <pic:spPr>
                    <a:xfrm>
                      <a:off x="0" y="0"/>
                      <a:ext cx="4615495" cy="3101036"/>
                    </a:xfrm>
                    <a:prstGeom prst="rect">
                      <a:avLst/>
                    </a:prstGeom>
                  </pic:spPr>
                </pic:pic>
              </a:graphicData>
            </a:graphic>
          </wp:inline>
        </w:drawing>
      </w:r>
    </w:p>
    <w:p w14:paraId="5997C6A2" w14:textId="4534E7AE" w:rsidR="00A62BA1" w:rsidRPr="001A2263" w:rsidRDefault="00A62BA1" w:rsidP="00A62BA1">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31</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saturação de água (SW). Os dados modelados (azul) mantem a distribuição heterogênea dos dados de entrada (em </w:t>
      </w:r>
      <w:r w:rsidR="009427A9">
        <w:rPr>
          <w:rFonts w:ascii="Arial" w:hAnsi="Arial" w:cs="Arial"/>
          <w:b/>
          <w:color w:val="auto"/>
          <w:sz w:val="20"/>
          <w:szCs w:val="20"/>
        </w:rPr>
        <w:t>vermelho</w:t>
      </w:r>
      <w:r>
        <w:rPr>
          <w:rFonts w:ascii="Arial" w:hAnsi="Arial" w:cs="Arial"/>
          <w:b/>
          <w:color w:val="auto"/>
          <w:sz w:val="20"/>
          <w:szCs w:val="20"/>
        </w:rPr>
        <w:t>), embora subestime o número de células cujo espaço poroso é inteiramente saturado por água.</w:t>
      </w:r>
    </w:p>
    <w:p w14:paraId="2EAC14E9" w14:textId="77777777" w:rsidR="00A62BA1" w:rsidRDefault="00A62BA1" w:rsidP="00A62BA1">
      <w:pPr>
        <w:keepNext/>
        <w:jc w:val="center"/>
      </w:pPr>
      <w:r>
        <w:rPr>
          <w:noProof/>
        </w:rPr>
        <w:lastRenderedPageBreak/>
        <w:drawing>
          <wp:inline distT="0" distB="0" distL="0" distR="0" wp14:anchorId="617B57D4" wp14:editId="26C77F4B">
            <wp:extent cx="5430811" cy="8004207"/>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8">
                      <a:extLst>
                        <a:ext uri="{28A0092B-C50C-407E-A947-70E740481C1C}">
                          <a14:useLocalDpi xmlns:a14="http://schemas.microsoft.com/office/drawing/2010/main" val="0"/>
                        </a:ext>
                      </a:extLst>
                    </a:blip>
                    <a:stretch>
                      <a:fillRect/>
                    </a:stretch>
                  </pic:blipFill>
                  <pic:spPr>
                    <a:xfrm>
                      <a:off x="0" y="0"/>
                      <a:ext cx="5430811" cy="8004207"/>
                    </a:xfrm>
                    <a:prstGeom prst="rect">
                      <a:avLst/>
                    </a:prstGeom>
                  </pic:spPr>
                </pic:pic>
              </a:graphicData>
            </a:graphic>
          </wp:inline>
        </w:drawing>
      </w:r>
    </w:p>
    <w:p w14:paraId="1AAB033E" w14:textId="170ADD18" w:rsidR="00A62BA1" w:rsidRPr="00ED2558" w:rsidRDefault="00A62BA1" w:rsidP="00A62BA1">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alta porosidade associados ao alto estrutural na porção sudoeste do reservatório e a um pico nos valores na porção nordeste.</w:t>
      </w:r>
    </w:p>
    <w:p w14:paraId="05744182" w14:textId="75FEE79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 xml:space="preserve">Correlações entre propriedades </w:t>
      </w:r>
      <w:r w:rsidR="0011276D">
        <w:rPr>
          <w:rFonts w:ascii="Arial" w:eastAsia="Times New Roman" w:hAnsi="Arial" w:cs="Arial"/>
          <w:b/>
          <w:sz w:val="24"/>
          <w:szCs w:val="24"/>
        </w:rPr>
        <w:t xml:space="preserve">de rocha </w:t>
      </w:r>
      <w:r>
        <w:rPr>
          <w:rFonts w:ascii="Arial" w:eastAsia="Times New Roman" w:hAnsi="Arial" w:cs="Arial"/>
          <w:b/>
          <w:sz w:val="24"/>
          <w:szCs w:val="24"/>
        </w:rPr>
        <w:t>modeladas</w:t>
      </w:r>
    </w:p>
    <w:p w14:paraId="12C435F5" w14:textId="296F54DA" w:rsidR="00366C5C" w:rsidRPr="00F658AF" w:rsidRDefault="0011276D" w:rsidP="0011276D">
      <w:pPr>
        <w:spacing w:before="240" w:line="360" w:lineRule="auto"/>
        <w:ind w:left="708" w:firstLine="708"/>
        <w:jc w:val="both"/>
        <w:outlineLvl w:val="2"/>
        <w:rPr>
          <w:rFonts w:ascii="Arial" w:eastAsia="Times New Roman" w:hAnsi="Arial" w:cs="Arial"/>
          <w:bCs/>
          <w:sz w:val="24"/>
          <w:szCs w:val="24"/>
          <w:u w:val="single"/>
        </w:rPr>
      </w:pPr>
      <w:r>
        <w:rPr>
          <w:rFonts w:ascii="Arial" w:eastAsia="Times New Roman" w:hAnsi="Arial" w:cs="Arial"/>
          <w:bCs/>
          <w:sz w:val="24"/>
          <w:szCs w:val="24"/>
        </w:rPr>
        <w:t>A análise dos valores modelados para as propriedades de rocha (GR, DT, RHOB, PHIE) permite inferências sobre</w:t>
      </w:r>
      <w:r w:rsidR="00BA27BA">
        <w:rPr>
          <w:rFonts w:ascii="Arial" w:eastAsia="Times New Roman" w:hAnsi="Arial" w:cs="Arial"/>
          <w:bCs/>
          <w:sz w:val="24"/>
          <w:szCs w:val="24"/>
        </w:rPr>
        <w:t xml:space="preserve"> a organização dos dados modelados em diferente fácies. A distribuição das propriedades de rocha não mostra grande variação </w:t>
      </w:r>
      <w:r w:rsidR="001341A1">
        <w:rPr>
          <w:rFonts w:ascii="Arial" w:eastAsia="Times New Roman" w:hAnsi="Arial" w:cs="Arial"/>
          <w:bCs/>
          <w:sz w:val="24"/>
          <w:szCs w:val="24"/>
        </w:rPr>
        <w:t xml:space="preserve">entre as zonas norte e sul do reservatório (Figura 33), indicando que embora dentro das zonas ocorram prováveis variações </w:t>
      </w:r>
      <w:proofErr w:type="spellStart"/>
      <w:r w:rsidR="001341A1">
        <w:rPr>
          <w:rFonts w:ascii="Arial" w:eastAsia="Times New Roman" w:hAnsi="Arial" w:cs="Arial"/>
          <w:bCs/>
          <w:sz w:val="24"/>
          <w:szCs w:val="24"/>
        </w:rPr>
        <w:t>faciológicas</w:t>
      </w:r>
      <w:proofErr w:type="spellEnd"/>
      <w:r w:rsidR="001341A1">
        <w:rPr>
          <w:rFonts w:ascii="Arial" w:eastAsia="Times New Roman" w:hAnsi="Arial" w:cs="Arial"/>
          <w:bCs/>
          <w:sz w:val="24"/>
          <w:szCs w:val="24"/>
        </w:rPr>
        <w:t xml:space="preserve"> (como observado nos modelos em mapa e seção), a composição das duas rochas é similar.</w:t>
      </w:r>
      <w:r w:rsidR="00B34D33">
        <w:rPr>
          <w:rFonts w:ascii="Arial" w:eastAsia="Times New Roman" w:hAnsi="Arial" w:cs="Arial"/>
          <w:bCs/>
          <w:sz w:val="24"/>
          <w:szCs w:val="24"/>
        </w:rPr>
        <w:t xml:space="preserve"> Picos locais na distribuição das propriedades podem indicar possíveis agrupamentos de dados e, consequentemente, a ocorrência de diferentes fácies. Observa-se isto em especial para os modelos de GR e RHOB, enquanto PHIE mostra diversos pequenos picos e DT mostra distribuições aproximadamente normais. Os valores de GR </w:t>
      </w:r>
      <w:r w:rsidR="001767B6">
        <w:rPr>
          <w:rFonts w:ascii="Arial" w:eastAsia="Times New Roman" w:hAnsi="Arial" w:cs="Arial"/>
          <w:bCs/>
          <w:sz w:val="24"/>
          <w:szCs w:val="24"/>
        </w:rPr>
        <w:t>sugerem</w:t>
      </w:r>
      <w:r w:rsidR="00B34D33">
        <w:rPr>
          <w:rFonts w:ascii="Arial" w:eastAsia="Times New Roman" w:hAnsi="Arial" w:cs="Arial"/>
          <w:bCs/>
          <w:sz w:val="24"/>
          <w:szCs w:val="24"/>
        </w:rPr>
        <w:t xml:space="preserve"> 4 principais agrupamentos, um principal em torno de 25 </w:t>
      </w:r>
      <w:proofErr w:type="spellStart"/>
      <w:r w:rsidR="00B34D33">
        <w:rPr>
          <w:rFonts w:ascii="Arial" w:eastAsia="Times New Roman" w:hAnsi="Arial" w:cs="Arial"/>
          <w:bCs/>
          <w:sz w:val="24"/>
          <w:szCs w:val="24"/>
        </w:rPr>
        <w:t>gAPI</w:t>
      </w:r>
      <w:proofErr w:type="spellEnd"/>
      <w:r w:rsidR="00B34D33">
        <w:rPr>
          <w:rFonts w:ascii="Arial" w:eastAsia="Times New Roman" w:hAnsi="Arial" w:cs="Arial"/>
          <w:bCs/>
          <w:sz w:val="24"/>
          <w:szCs w:val="24"/>
        </w:rPr>
        <w:t xml:space="preserve">, um segundo agrupamento mais pronunciado na zona norte em torno de 40 </w:t>
      </w:r>
      <w:proofErr w:type="spellStart"/>
      <w:r w:rsidR="00B34D33">
        <w:rPr>
          <w:rFonts w:ascii="Arial" w:eastAsia="Times New Roman" w:hAnsi="Arial" w:cs="Arial"/>
          <w:bCs/>
          <w:sz w:val="24"/>
          <w:szCs w:val="24"/>
        </w:rPr>
        <w:t>gAPI</w:t>
      </w:r>
      <w:proofErr w:type="spellEnd"/>
      <w:r w:rsidR="001767B6">
        <w:rPr>
          <w:rFonts w:ascii="Arial" w:eastAsia="Times New Roman" w:hAnsi="Arial" w:cs="Arial"/>
          <w:bCs/>
          <w:sz w:val="24"/>
          <w:szCs w:val="24"/>
        </w:rPr>
        <w:t xml:space="preserve">, um terceiro em torno de 60 </w:t>
      </w:r>
      <w:proofErr w:type="spellStart"/>
      <w:r w:rsidR="001767B6">
        <w:rPr>
          <w:rFonts w:ascii="Arial" w:eastAsia="Times New Roman" w:hAnsi="Arial" w:cs="Arial"/>
          <w:bCs/>
          <w:sz w:val="24"/>
          <w:szCs w:val="24"/>
        </w:rPr>
        <w:t>gAPI</w:t>
      </w:r>
      <w:proofErr w:type="spellEnd"/>
      <w:r w:rsidR="001767B6">
        <w:rPr>
          <w:rFonts w:ascii="Arial" w:eastAsia="Times New Roman" w:hAnsi="Arial" w:cs="Arial"/>
          <w:bCs/>
          <w:sz w:val="24"/>
          <w:szCs w:val="24"/>
        </w:rPr>
        <w:t xml:space="preserve"> e por fim um último em torno de 100 </w:t>
      </w:r>
      <w:proofErr w:type="spellStart"/>
      <w:r w:rsidR="001767B6">
        <w:rPr>
          <w:rFonts w:ascii="Arial" w:eastAsia="Times New Roman" w:hAnsi="Arial" w:cs="Arial"/>
          <w:bCs/>
          <w:sz w:val="24"/>
          <w:szCs w:val="24"/>
        </w:rPr>
        <w:t>gAPI</w:t>
      </w:r>
      <w:proofErr w:type="spellEnd"/>
      <w:r w:rsidR="001767B6">
        <w:rPr>
          <w:rFonts w:ascii="Arial" w:eastAsia="Times New Roman" w:hAnsi="Arial" w:cs="Arial"/>
          <w:bCs/>
          <w:sz w:val="24"/>
          <w:szCs w:val="24"/>
        </w:rPr>
        <w:t xml:space="preserve"> mais pronunciado na zona sul.</w:t>
      </w:r>
      <w:r w:rsidR="009427A9">
        <w:rPr>
          <w:rFonts w:ascii="Arial" w:eastAsia="Times New Roman" w:hAnsi="Arial" w:cs="Arial"/>
          <w:bCs/>
          <w:sz w:val="24"/>
          <w:szCs w:val="24"/>
        </w:rPr>
        <w:t xml:space="preserve"> Já a distribuição dos valores de RHOB indica</w:t>
      </w:r>
      <w:r w:rsidR="00762BD8">
        <w:rPr>
          <w:rFonts w:ascii="Arial" w:eastAsia="Times New Roman" w:hAnsi="Arial" w:cs="Arial"/>
          <w:bCs/>
          <w:sz w:val="24"/>
          <w:szCs w:val="24"/>
        </w:rPr>
        <w:t xml:space="preserve"> dois agrupamentos, um em torno de 2,3 g/cm³ e outro em torno de 2,5 g/cm³.</w:t>
      </w:r>
    </w:p>
    <w:p w14:paraId="13F89DFA" w14:textId="7223BCBB" w:rsidR="001341A1" w:rsidRDefault="001341A1" w:rsidP="001341A1">
      <w:pPr>
        <w:keepNext/>
        <w:spacing w:line="360" w:lineRule="auto"/>
        <w:jc w:val="center"/>
      </w:pPr>
      <w:r>
        <w:rPr>
          <w:rFonts w:ascii="Arial" w:hAnsi="Arial" w:cs="Arial"/>
          <w:noProof/>
          <w:sz w:val="24"/>
          <w:szCs w:val="24"/>
        </w:rPr>
        <w:drawing>
          <wp:inline distT="0" distB="0" distL="0" distR="0" wp14:anchorId="4EAC199F" wp14:editId="1E66F69D">
            <wp:extent cx="5468063" cy="1700593"/>
            <wp:effectExtent l="0" t="0" r="0" b="0"/>
            <wp:docPr id="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5468063" cy="1700593"/>
                    </a:xfrm>
                    <a:prstGeom prst="rect">
                      <a:avLst/>
                    </a:prstGeom>
                  </pic:spPr>
                </pic:pic>
              </a:graphicData>
            </a:graphic>
          </wp:inline>
        </w:drawing>
      </w:r>
      <w:r w:rsidR="0051408F">
        <w:t xml:space="preserve">  </w:t>
      </w:r>
    </w:p>
    <w:p w14:paraId="43D14760" w14:textId="262787D1" w:rsidR="001341A1" w:rsidRDefault="001341A1" w:rsidP="001341A1">
      <w:pPr>
        <w:pStyle w:val="Legenda"/>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Pr>
          <w:rFonts w:ascii="Arial" w:hAnsi="Arial" w:cs="Arial"/>
          <w:b/>
          <w:bCs/>
          <w:noProof/>
          <w:color w:val="auto"/>
          <w:sz w:val="20"/>
          <w:szCs w:val="20"/>
        </w:rPr>
        <w:t>33</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w:t>
      </w:r>
      <w:r>
        <w:rPr>
          <w:rFonts w:ascii="Arial" w:hAnsi="Arial" w:cs="Arial"/>
          <w:b/>
          <w:bCs/>
          <w:color w:val="auto"/>
          <w:sz w:val="20"/>
          <w:szCs w:val="20"/>
        </w:rPr>
        <w:t>Funções de densidade de probabilidade para cada propriedade de rocha modelada para as zonas norte e sul. Observa-se o comportamento similar para as 4 propriedades nas 2 zonas, com DT mostrando comportamento com maiores valores médios e maior heterogeneidade na zona sul.</w:t>
      </w:r>
    </w:p>
    <w:p w14:paraId="3363B3AC" w14:textId="55921C50" w:rsidR="00211E0A" w:rsidRDefault="00211E0A" w:rsidP="001E2D45">
      <w:pPr>
        <w:rPr>
          <w:rFonts w:ascii="Arial" w:eastAsia="Times New Roman" w:hAnsi="Arial" w:cs="Arial"/>
          <w:b/>
          <w:sz w:val="24"/>
          <w:szCs w:val="24"/>
        </w:rPr>
      </w:pPr>
    </w:p>
    <w:p w14:paraId="5C24EFDB" w14:textId="11D0D807" w:rsidR="00B34D33" w:rsidRDefault="00B34D33" w:rsidP="00B34D33">
      <w:pPr>
        <w:spacing w:before="240" w:line="360" w:lineRule="auto"/>
        <w:ind w:left="708" w:firstLine="708"/>
        <w:jc w:val="both"/>
        <w:outlineLvl w:val="2"/>
        <w:rPr>
          <w:rFonts w:ascii="Arial" w:eastAsia="Times New Roman" w:hAnsi="Arial" w:cs="Arial"/>
          <w:bCs/>
          <w:sz w:val="24"/>
          <w:szCs w:val="24"/>
        </w:rPr>
      </w:pPr>
      <w:r>
        <w:rPr>
          <w:rFonts w:ascii="Arial" w:eastAsia="Times New Roman" w:hAnsi="Arial" w:cs="Arial"/>
          <w:bCs/>
          <w:sz w:val="24"/>
          <w:szCs w:val="24"/>
        </w:rPr>
        <w:t>Gráficos de dispersão</w:t>
      </w:r>
      <w:r w:rsidR="0092099E">
        <w:rPr>
          <w:rFonts w:ascii="Arial" w:eastAsia="Times New Roman" w:hAnsi="Arial" w:cs="Arial"/>
          <w:bCs/>
          <w:sz w:val="24"/>
          <w:szCs w:val="24"/>
        </w:rPr>
        <w:t xml:space="preserve"> e de densidade de pontos</w:t>
      </w:r>
      <w:r>
        <w:rPr>
          <w:rFonts w:ascii="Arial" w:eastAsia="Times New Roman" w:hAnsi="Arial" w:cs="Arial"/>
          <w:bCs/>
          <w:sz w:val="24"/>
          <w:szCs w:val="24"/>
        </w:rPr>
        <w:t xml:space="preserve"> para cada par de propriedades são gerados afim de observar possíveis agrupamentos de dados (Figura</w:t>
      </w:r>
      <w:r w:rsidR="0092099E">
        <w:rPr>
          <w:rFonts w:ascii="Arial" w:eastAsia="Times New Roman" w:hAnsi="Arial" w:cs="Arial"/>
          <w:bCs/>
          <w:sz w:val="24"/>
          <w:szCs w:val="24"/>
        </w:rPr>
        <w:t>s</w:t>
      </w:r>
      <w:r>
        <w:rPr>
          <w:rFonts w:ascii="Arial" w:eastAsia="Times New Roman" w:hAnsi="Arial" w:cs="Arial"/>
          <w:bCs/>
          <w:sz w:val="24"/>
          <w:szCs w:val="24"/>
        </w:rPr>
        <w:t xml:space="preserve"> 34</w:t>
      </w:r>
      <w:r w:rsidR="0092099E">
        <w:rPr>
          <w:rFonts w:ascii="Arial" w:eastAsia="Times New Roman" w:hAnsi="Arial" w:cs="Arial"/>
          <w:bCs/>
          <w:sz w:val="24"/>
          <w:szCs w:val="24"/>
        </w:rPr>
        <w:t xml:space="preserve"> a 41).</w:t>
      </w:r>
      <w:r>
        <w:rPr>
          <w:rFonts w:ascii="Arial" w:eastAsia="Times New Roman" w:hAnsi="Arial" w:cs="Arial"/>
          <w:bCs/>
          <w:sz w:val="24"/>
          <w:szCs w:val="24"/>
        </w:rPr>
        <w:t xml:space="preserve"> </w:t>
      </w:r>
      <w:bookmarkStart w:id="57" w:name="_GoBack"/>
      <w:bookmarkEnd w:id="57"/>
    </w:p>
    <w:p w14:paraId="61551C86" w14:textId="77777777" w:rsidR="001341A1" w:rsidRDefault="001341A1" w:rsidP="001E2D45"/>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tab/>
      </w:r>
      <w:bookmarkStart w:id="58"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8"/>
    </w:p>
    <w:p w14:paraId="29DF5C6B" w14:textId="77777777" w:rsidR="001E2D45" w:rsidRPr="001E2D45" w:rsidRDefault="001E2D45" w:rsidP="001E2D45">
      <w:pPr>
        <w:rPr>
          <w:rFonts w:ascii="Arial" w:hAnsi="Arial" w:cs="Arial"/>
          <w:b/>
          <w:sz w:val="24"/>
          <w:szCs w:val="24"/>
        </w:rPr>
      </w:pPr>
    </w:p>
    <w:p w14:paraId="587BD682" w14:textId="58601AE1" w:rsidR="00140DA9" w:rsidRDefault="004676CB" w:rsidP="00140DA9">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diferentes agrupamentos de características semelhantes</w:t>
      </w:r>
      <w:r w:rsidR="00211E0A">
        <w:rPr>
          <w:rFonts w:ascii="Arial" w:hAnsi="Arial" w:cs="Arial"/>
          <w:sz w:val="24"/>
          <w:szCs w:val="24"/>
        </w:rPr>
        <w:t>.</w:t>
      </w:r>
      <w:r w:rsidR="003B5FAE">
        <w:rPr>
          <w:rFonts w:ascii="Arial" w:hAnsi="Arial" w:cs="Arial"/>
          <w:sz w:val="24"/>
          <w:szCs w:val="24"/>
        </w:rPr>
        <w:t xml:space="preserve"> </w:t>
      </w:r>
      <w:r w:rsidR="00140DA9">
        <w:rPr>
          <w:rFonts w:ascii="Arial" w:hAnsi="Arial" w:cs="Arial"/>
          <w:sz w:val="24"/>
          <w:szCs w:val="24"/>
        </w:rPr>
        <w:t xml:space="preserve">Os resultados do algoritmo de mapas auto organizáveis permitem reduzir a dimensionalidade do problema de </w:t>
      </w:r>
      <w:r w:rsidR="002D150E">
        <w:rPr>
          <w:rFonts w:ascii="Arial" w:hAnsi="Arial" w:cs="Arial"/>
          <w:sz w:val="24"/>
          <w:szCs w:val="24"/>
        </w:rPr>
        <w:t>3</w:t>
      </w:r>
      <w:r w:rsidR="00140DA9">
        <w:rPr>
          <w:rFonts w:ascii="Arial" w:hAnsi="Arial" w:cs="Arial"/>
          <w:sz w:val="24"/>
          <w:szCs w:val="24"/>
        </w:rPr>
        <w:t xml:space="preserve"> (PHIE, GR, RHOB) para 2</w:t>
      </w:r>
      <w:r w:rsidR="00E4794E">
        <w:rPr>
          <w:rFonts w:ascii="Arial" w:hAnsi="Arial" w:cs="Arial"/>
          <w:sz w:val="24"/>
          <w:szCs w:val="24"/>
        </w:rPr>
        <w:t xml:space="preserve"> dimensões</w:t>
      </w:r>
      <w:r w:rsidR="00140DA9">
        <w:rPr>
          <w:rFonts w:ascii="Arial" w:hAnsi="Arial" w:cs="Arial"/>
          <w:sz w:val="24"/>
          <w:szCs w:val="24"/>
        </w:rPr>
        <w:t xml:space="preserve">, </w:t>
      </w:r>
      <w:r w:rsidR="002D150E">
        <w:rPr>
          <w:rFonts w:ascii="Arial" w:hAnsi="Arial" w:cs="Arial"/>
          <w:sz w:val="24"/>
          <w:szCs w:val="24"/>
        </w:rPr>
        <w:t xml:space="preserve">e, principalmente, reduz o espaço amostral de mais de 400000 células para um mapa 2D composto por 3364 </w:t>
      </w:r>
      <w:r w:rsidR="002D150E" w:rsidRPr="00A7312A">
        <w:rPr>
          <w:rFonts w:ascii="Arial" w:hAnsi="Arial" w:cs="Arial"/>
          <w:sz w:val="24"/>
          <w:szCs w:val="24"/>
        </w:rPr>
        <w:t>neurônios</w:t>
      </w:r>
      <w:r w:rsidR="002D150E">
        <w:rPr>
          <w:rFonts w:ascii="Arial" w:hAnsi="Arial" w:cs="Arial"/>
          <w:sz w:val="24"/>
          <w:szCs w:val="24"/>
        </w:rPr>
        <w:t>. O</w:t>
      </w:r>
      <w:r w:rsidR="00140DA9">
        <w:rPr>
          <w:rFonts w:ascii="Arial" w:hAnsi="Arial" w:cs="Arial"/>
          <w:sz w:val="24"/>
          <w:szCs w:val="24"/>
        </w:rPr>
        <w:t>bserva-se a resposta dos neurônios do mapa gerado para cada variável de entrada e também a matriz correspondente às distâncias entre cada uma das respostas (Figura 3</w:t>
      </w:r>
      <w:r w:rsidR="009C7CB3">
        <w:rPr>
          <w:rFonts w:ascii="Arial" w:hAnsi="Arial" w:cs="Arial"/>
          <w:sz w:val="24"/>
          <w:szCs w:val="24"/>
        </w:rPr>
        <w:t>4</w:t>
      </w:r>
      <w:r w:rsidR="00140DA9">
        <w:rPr>
          <w:rFonts w:ascii="Arial" w:hAnsi="Arial" w:cs="Arial"/>
          <w:sz w:val="24"/>
          <w:szCs w:val="24"/>
        </w:rPr>
        <w:t>).</w:t>
      </w:r>
    </w:p>
    <w:p w14:paraId="09879243" w14:textId="658FBDFB" w:rsidR="00E54E80" w:rsidRPr="00A7312A" w:rsidRDefault="00140DA9" w:rsidP="00E54E80">
      <w:pPr>
        <w:spacing w:line="360" w:lineRule="auto"/>
        <w:ind w:firstLine="708"/>
        <w:jc w:val="both"/>
        <w:rPr>
          <w:rFonts w:ascii="Arial" w:hAnsi="Arial" w:cs="Arial"/>
          <w:sz w:val="24"/>
          <w:szCs w:val="24"/>
        </w:rPr>
      </w:pPr>
      <w:r>
        <w:rPr>
          <w:rFonts w:ascii="Arial" w:hAnsi="Arial" w:cs="Arial"/>
          <w:sz w:val="24"/>
          <w:szCs w:val="24"/>
        </w:rPr>
        <w:t xml:space="preserve">Nota-se que os neurônios com pesos mais altos para medidas de porosidade </w:t>
      </w:r>
      <w:r w:rsidR="00E54E80">
        <w:rPr>
          <w:rFonts w:ascii="Arial" w:hAnsi="Arial" w:cs="Arial"/>
          <w:sz w:val="24"/>
          <w:szCs w:val="24"/>
        </w:rPr>
        <w:t>também concentram respostas menos intensas para medidas de saturação de água e densidade. Comportamento observado anteriormente nas propriedades modeladas. Ao mesmo tempo, devido a distribuição concentrada dos picos de alta resistividade, observa-se que os neurônios com alta resposta de resistividade ocorrem também de maneira concentrada, mostrando relação inversa com as respostas de saturação de água, comportamento esperado em uma rocha reservatório. Ao mesmo tempo, a observação da matriz de distâncias não revela um agrupamento óbvio dos dados, ainda que os valores mais altos centrais cercados por diferentes zonas periféricas de baixos valores sugiram que existe um agrupamento das respostas da matriz de distâncias.</w:t>
      </w:r>
    </w:p>
    <w:p w14:paraId="03F6B9EE" w14:textId="77777777" w:rsidR="00E54E80" w:rsidRDefault="00E54E80" w:rsidP="00E54E80">
      <w:pPr>
        <w:keepNext/>
        <w:spacing w:line="360" w:lineRule="auto"/>
        <w:jc w:val="center"/>
      </w:pPr>
      <w:r>
        <w:rPr>
          <w:rFonts w:ascii="Arial" w:hAnsi="Arial" w:cs="Arial"/>
          <w:noProof/>
          <w:sz w:val="24"/>
          <w:szCs w:val="24"/>
        </w:rPr>
        <w:lastRenderedPageBreak/>
        <w:drawing>
          <wp:inline distT="0" distB="0" distL="0" distR="0" wp14:anchorId="51B5B125" wp14:editId="5C90CE72">
            <wp:extent cx="4257675" cy="5169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0">
                      <a:extLst>
                        <a:ext uri="{28A0092B-C50C-407E-A947-70E740481C1C}">
                          <a14:useLocalDpi xmlns:a14="http://schemas.microsoft.com/office/drawing/2010/main" val="0"/>
                        </a:ext>
                      </a:extLst>
                    </a:blip>
                    <a:stretch>
                      <a:fillRect/>
                    </a:stretch>
                  </pic:blipFill>
                  <pic:spPr>
                    <a:xfrm>
                      <a:off x="0" y="0"/>
                      <a:ext cx="4263102" cy="5176026"/>
                    </a:xfrm>
                    <a:prstGeom prst="rect">
                      <a:avLst/>
                    </a:prstGeom>
                  </pic:spPr>
                </pic:pic>
              </a:graphicData>
            </a:graphic>
          </wp:inline>
        </w:drawing>
      </w:r>
    </w:p>
    <w:p w14:paraId="6A16C145" w14:textId="6B66BEB3" w:rsidR="00D230EE" w:rsidRDefault="00E54E80" w:rsidP="0011005A">
      <w:pPr>
        <w:pStyle w:val="Legenda"/>
        <w:jc w:val="center"/>
        <w:rPr>
          <w:rFonts w:ascii="Arial" w:hAnsi="Arial" w:cs="Arial"/>
          <w:b/>
          <w:bCs/>
          <w:color w:val="auto"/>
          <w:sz w:val="20"/>
          <w:szCs w:val="20"/>
        </w:rPr>
      </w:pPr>
      <w:bookmarkStart w:id="59" w:name="_Toc32229553"/>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sidR="009C7CB3">
        <w:rPr>
          <w:rFonts w:ascii="Arial" w:hAnsi="Arial" w:cs="Arial"/>
          <w:b/>
          <w:bCs/>
          <w:noProof/>
          <w:color w:val="auto"/>
          <w:sz w:val="20"/>
          <w:szCs w:val="20"/>
        </w:rPr>
        <w:t>34</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Matriz de Distâncias e respostas à cada variável do algoritmo de mapas auto organizáveis (SOM). Observa-se a relação entre altas respostas de porosidade e resistividade com baixas respostas de saturação de água e densidade.</w:t>
      </w:r>
      <w:bookmarkEnd w:id="59"/>
    </w:p>
    <w:p w14:paraId="089ADD45" w14:textId="77777777" w:rsidR="0011005A" w:rsidRPr="0011005A" w:rsidRDefault="0011005A" w:rsidP="0011005A"/>
    <w:p w14:paraId="0493DA94" w14:textId="51345A3E" w:rsidR="00D230EE" w:rsidRDefault="00D230EE" w:rsidP="00F40ACC">
      <w:pPr>
        <w:spacing w:line="360" w:lineRule="auto"/>
        <w:jc w:val="both"/>
        <w:rPr>
          <w:rFonts w:ascii="Arial" w:hAnsi="Arial" w:cs="Arial"/>
          <w:sz w:val="24"/>
          <w:szCs w:val="24"/>
        </w:rPr>
      </w:pPr>
      <w:r>
        <w:rPr>
          <w:rFonts w:ascii="Arial" w:hAnsi="Arial" w:cs="Arial"/>
          <w:sz w:val="24"/>
          <w:szCs w:val="24"/>
        </w:rPr>
        <w:tab/>
        <w:t>Computando o algoritmo de K-</w:t>
      </w:r>
      <w:proofErr w:type="spellStart"/>
      <w:r>
        <w:rPr>
          <w:rFonts w:ascii="Arial" w:hAnsi="Arial" w:cs="Arial"/>
          <w:sz w:val="24"/>
          <w:szCs w:val="24"/>
        </w:rPr>
        <w:t>Means</w:t>
      </w:r>
      <w:proofErr w:type="spellEnd"/>
      <w:r>
        <w:rPr>
          <w:rFonts w:ascii="Arial" w:hAnsi="Arial" w:cs="Arial"/>
          <w:sz w:val="24"/>
          <w:szCs w:val="24"/>
        </w:rPr>
        <w:t xml:space="preserve"> para valores de K entre 2 e 15 classes, são obtidos os respectivos índices de silhueta e Davies-</w:t>
      </w:r>
      <w:proofErr w:type="spellStart"/>
      <w:r>
        <w:rPr>
          <w:rFonts w:ascii="Arial" w:hAnsi="Arial" w:cs="Arial"/>
          <w:sz w:val="24"/>
          <w:szCs w:val="24"/>
        </w:rPr>
        <w:t>Bouldin</w:t>
      </w:r>
      <w:proofErr w:type="spellEnd"/>
      <w:r>
        <w:rPr>
          <w:rFonts w:ascii="Arial" w:hAnsi="Arial" w:cs="Arial"/>
          <w:sz w:val="24"/>
          <w:szCs w:val="24"/>
        </w:rPr>
        <w:t xml:space="preserve"> (Figura 3</w:t>
      </w:r>
      <w:r w:rsidR="009C7CB3">
        <w:rPr>
          <w:rFonts w:ascii="Arial" w:hAnsi="Arial" w:cs="Arial"/>
          <w:sz w:val="24"/>
          <w:szCs w:val="24"/>
        </w:rPr>
        <w:t>5</w:t>
      </w:r>
      <w:r>
        <w:rPr>
          <w:rFonts w:ascii="Arial" w:hAnsi="Arial" w:cs="Arial"/>
          <w:sz w:val="24"/>
          <w:szCs w:val="24"/>
        </w:rPr>
        <w:t>). 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os dados na matriz de distância podem ser satisfatoriamente divididos em três classes diferentes.</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9932BE0">
            <wp:extent cx="3400425" cy="22752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1">
                      <a:extLst>
                        <a:ext uri="{28A0092B-C50C-407E-A947-70E740481C1C}">
                          <a14:useLocalDpi xmlns:a14="http://schemas.microsoft.com/office/drawing/2010/main" val="0"/>
                        </a:ext>
                      </a:extLst>
                    </a:blip>
                    <a:stretch>
                      <a:fillRect/>
                    </a:stretch>
                  </pic:blipFill>
                  <pic:spPr>
                    <a:xfrm>
                      <a:off x="0" y="0"/>
                      <a:ext cx="3403537" cy="2277366"/>
                    </a:xfrm>
                    <a:prstGeom prst="rect">
                      <a:avLst/>
                    </a:prstGeom>
                  </pic:spPr>
                </pic:pic>
              </a:graphicData>
            </a:graphic>
          </wp:inline>
        </w:drawing>
      </w:r>
    </w:p>
    <w:p w14:paraId="000F236E" w14:textId="4C053C1D" w:rsidR="00D230EE" w:rsidRDefault="00D230EE" w:rsidP="00D230EE">
      <w:pPr>
        <w:pStyle w:val="Legenda"/>
        <w:jc w:val="center"/>
        <w:rPr>
          <w:rFonts w:ascii="Arial" w:hAnsi="Arial" w:cs="Arial"/>
          <w:b/>
          <w:bCs/>
          <w:color w:val="auto"/>
          <w:sz w:val="20"/>
          <w:szCs w:val="20"/>
        </w:rPr>
      </w:pPr>
      <w:bookmarkStart w:id="60"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diferente classes.</w:t>
      </w:r>
      <w:bookmarkEnd w:id="60"/>
    </w:p>
    <w:p w14:paraId="6DA71D07" w14:textId="3F118629" w:rsidR="00D230EE" w:rsidRDefault="00D230EE" w:rsidP="00D230EE"/>
    <w:p w14:paraId="1E54AD09" w14:textId="4D717845" w:rsidR="00D230EE" w:rsidRDefault="00D230EE" w:rsidP="0011005A">
      <w:pPr>
        <w:spacing w:line="360" w:lineRule="auto"/>
        <w:ind w:firstLine="708"/>
        <w:jc w:val="both"/>
        <w:rPr>
          <w:rFonts w:ascii="Arial" w:hAnsi="Arial" w:cs="Arial"/>
          <w:sz w:val="24"/>
          <w:szCs w:val="24"/>
        </w:rPr>
      </w:pPr>
      <w:r>
        <w:rPr>
          <w:rFonts w:ascii="Arial" w:hAnsi="Arial" w:cs="Arial"/>
          <w:sz w:val="24"/>
          <w:szCs w:val="24"/>
        </w:rPr>
        <w:t>Definido o número de classes para a classificação dos dados, computa-se novamente o algoritmo de K-</w:t>
      </w:r>
      <w:proofErr w:type="spellStart"/>
      <w:r>
        <w:rPr>
          <w:rFonts w:ascii="Arial" w:hAnsi="Arial" w:cs="Arial"/>
          <w:sz w:val="24"/>
          <w:szCs w:val="24"/>
        </w:rPr>
        <w:t>Means</w:t>
      </w:r>
      <w:proofErr w:type="spellEnd"/>
      <w:r>
        <w:rPr>
          <w:rFonts w:ascii="Arial" w:hAnsi="Arial" w:cs="Arial"/>
          <w:sz w:val="24"/>
          <w:szCs w:val="24"/>
        </w:rPr>
        <w:t xml:space="preserve"> </w:t>
      </w:r>
      <w:r w:rsidR="008A105E">
        <w:rPr>
          <w:rFonts w:ascii="Arial" w:hAnsi="Arial" w:cs="Arial"/>
          <w:sz w:val="24"/>
          <w:szCs w:val="24"/>
        </w:rPr>
        <w:t>com K=3 e também se computa o algoritmo de GMM com 3 componentes (Figura 3</w:t>
      </w:r>
      <w:r w:rsidR="009C7CB3">
        <w:rPr>
          <w:rFonts w:ascii="Arial" w:hAnsi="Arial" w:cs="Arial"/>
          <w:sz w:val="24"/>
          <w:szCs w:val="24"/>
        </w:rPr>
        <w:t>6</w:t>
      </w:r>
      <w:r w:rsidR="008A105E">
        <w:rPr>
          <w:rFonts w:ascii="Arial" w:hAnsi="Arial" w:cs="Arial"/>
          <w:sz w:val="24"/>
          <w:szCs w:val="24"/>
        </w:rPr>
        <w:t>). Observa-se a maior correspondência do algoritmo de GMM com a distribuição observada no mapa de distâncias, com a classe 0 correspondendo aos neurônios de maiores distâncias.</w:t>
      </w:r>
      <w:r w:rsidR="0011005A">
        <w:rPr>
          <w:rFonts w:ascii="Arial" w:hAnsi="Arial" w:cs="Arial"/>
          <w:sz w:val="24"/>
          <w:szCs w:val="24"/>
        </w:rPr>
        <w:t xml:space="preserve"> Nota-se que o número da classe não é o mesmo entre os 2 algoritmos e depende da inicialização aleatória do algoritmo, não tendo qualquer significado além de separar os dados.</w:t>
      </w:r>
    </w:p>
    <w:p w14:paraId="1764A3CC" w14:textId="0AEC8608" w:rsidR="0011005A" w:rsidRDefault="0011005A" w:rsidP="0011005A">
      <w:pPr>
        <w:rPr>
          <w:rFonts w:ascii="Arial" w:hAnsi="Arial" w:cs="Arial"/>
          <w:sz w:val="24"/>
          <w:szCs w:val="24"/>
        </w:rPr>
      </w:pPr>
    </w:p>
    <w:p w14:paraId="4BC1BDB0" w14:textId="77777777" w:rsidR="0011005A" w:rsidRDefault="0011005A" w:rsidP="0011005A">
      <w:pPr>
        <w:keepNext/>
        <w:jc w:val="center"/>
      </w:pPr>
      <w:r>
        <w:rPr>
          <w:noProof/>
        </w:rPr>
        <w:drawing>
          <wp:inline distT="0" distB="0" distL="0" distR="0" wp14:anchorId="62705FA7" wp14:editId="0A413A62">
            <wp:extent cx="3596905" cy="260184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7.png"/>
                    <pic:cNvPicPr/>
                  </pic:nvPicPr>
                  <pic:blipFill>
                    <a:blip r:embed="rId52">
                      <a:extLst>
                        <a:ext uri="{28A0092B-C50C-407E-A947-70E740481C1C}">
                          <a14:useLocalDpi xmlns:a14="http://schemas.microsoft.com/office/drawing/2010/main" val="0"/>
                        </a:ext>
                      </a:extLst>
                    </a:blip>
                    <a:stretch>
                      <a:fillRect/>
                    </a:stretch>
                  </pic:blipFill>
                  <pic:spPr>
                    <a:xfrm>
                      <a:off x="0" y="0"/>
                      <a:ext cx="3596905" cy="2601843"/>
                    </a:xfrm>
                    <a:prstGeom prst="rect">
                      <a:avLst/>
                    </a:prstGeom>
                  </pic:spPr>
                </pic:pic>
              </a:graphicData>
            </a:graphic>
          </wp:inline>
        </w:drawing>
      </w:r>
    </w:p>
    <w:p w14:paraId="204BEC59" w14:textId="11082A4A" w:rsidR="0011005A" w:rsidRDefault="0011005A" w:rsidP="0011005A">
      <w:pPr>
        <w:pStyle w:val="Legenda"/>
        <w:jc w:val="center"/>
        <w:rPr>
          <w:rFonts w:ascii="Arial" w:hAnsi="Arial" w:cs="Arial"/>
          <w:b/>
          <w:bCs/>
          <w:color w:val="auto"/>
          <w:sz w:val="20"/>
          <w:szCs w:val="20"/>
        </w:rPr>
      </w:pPr>
      <w:bookmarkStart w:id="61" w:name="_Toc32229555"/>
      <w:r w:rsidRPr="0011005A">
        <w:rPr>
          <w:rFonts w:ascii="Arial" w:hAnsi="Arial" w:cs="Arial"/>
          <w:b/>
          <w:bCs/>
          <w:color w:val="auto"/>
          <w:sz w:val="20"/>
          <w:szCs w:val="20"/>
        </w:rPr>
        <w:t xml:space="preserve">Figura </w:t>
      </w:r>
      <w:r w:rsidRPr="0011005A">
        <w:rPr>
          <w:rFonts w:ascii="Arial" w:hAnsi="Arial" w:cs="Arial"/>
          <w:b/>
          <w:bCs/>
          <w:color w:val="auto"/>
          <w:sz w:val="20"/>
          <w:szCs w:val="20"/>
        </w:rPr>
        <w:fldChar w:fldCharType="begin"/>
      </w:r>
      <w:r w:rsidRPr="0011005A">
        <w:rPr>
          <w:rFonts w:ascii="Arial" w:hAnsi="Arial" w:cs="Arial"/>
          <w:b/>
          <w:bCs/>
          <w:color w:val="auto"/>
          <w:sz w:val="20"/>
          <w:szCs w:val="20"/>
        </w:rPr>
        <w:instrText xml:space="preserve"> SEQ Figura \* ARABIC </w:instrText>
      </w:r>
      <w:r w:rsidRPr="0011005A">
        <w:rPr>
          <w:rFonts w:ascii="Arial" w:hAnsi="Arial" w:cs="Arial"/>
          <w:b/>
          <w:bCs/>
          <w:color w:val="auto"/>
          <w:sz w:val="20"/>
          <w:szCs w:val="20"/>
        </w:rPr>
        <w:fldChar w:fldCharType="separate"/>
      </w:r>
      <w:r w:rsidR="009C7CB3">
        <w:rPr>
          <w:rFonts w:ascii="Arial" w:hAnsi="Arial" w:cs="Arial"/>
          <w:b/>
          <w:bCs/>
          <w:noProof/>
          <w:color w:val="auto"/>
          <w:sz w:val="20"/>
          <w:szCs w:val="20"/>
        </w:rPr>
        <w:t>36</w:t>
      </w:r>
      <w:r w:rsidRPr="0011005A">
        <w:rPr>
          <w:rFonts w:ascii="Arial" w:hAnsi="Arial" w:cs="Arial"/>
          <w:b/>
          <w:bCs/>
          <w:color w:val="auto"/>
          <w:sz w:val="20"/>
          <w:szCs w:val="20"/>
        </w:rPr>
        <w:fldChar w:fldCharType="end"/>
      </w:r>
      <w:r w:rsidRPr="0011005A">
        <w:rPr>
          <w:rFonts w:ascii="Arial" w:hAnsi="Arial" w:cs="Arial"/>
          <w:b/>
          <w:bCs/>
          <w:color w:val="auto"/>
          <w:sz w:val="20"/>
          <w:szCs w:val="20"/>
        </w:rPr>
        <w:t xml:space="preserve"> – Classificações da matriz de distâncias. Valores entre 0 e 1 para o mapa de probabilidades de GMM são a probabilidade de cada neurônio pertencer a classe </w:t>
      </w:r>
      <w:r w:rsidR="005101E9">
        <w:rPr>
          <w:rFonts w:ascii="Arial" w:hAnsi="Arial" w:cs="Arial"/>
          <w:b/>
          <w:bCs/>
          <w:color w:val="auto"/>
          <w:sz w:val="20"/>
          <w:szCs w:val="20"/>
        </w:rPr>
        <w:t>2</w:t>
      </w:r>
      <w:r w:rsidRPr="0011005A">
        <w:rPr>
          <w:rFonts w:ascii="Arial" w:hAnsi="Arial" w:cs="Arial"/>
          <w:b/>
          <w:bCs/>
          <w:color w:val="auto"/>
          <w:sz w:val="20"/>
          <w:szCs w:val="20"/>
        </w:rPr>
        <w:t>.</w:t>
      </w:r>
      <w:bookmarkEnd w:id="61"/>
    </w:p>
    <w:p w14:paraId="3C1FF81A" w14:textId="63339CB3" w:rsidR="00D9665D" w:rsidRDefault="00387EFF" w:rsidP="00F40ACC">
      <w:pPr>
        <w:spacing w:line="360" w:lineRule="auto"/>
        <w:ind w:firstLine="708"/>
        <w:jc w:val="both"/>
        <w:rPr>
          <w:rFonts w:ascii="Arial" w:hAnsi="Arial" w:cs="Arial"/>
          <w:sz w:val="24"/>
          <w:szCs w:val="24"/>
        </w:rPr>
      </w:pPr>
      <w:r>
        <w:rPr>
          <w:rFonts w:ascii="Arial" w:hAnsi="Arial" w:cs="Arial"/>
          <w:sz w:val="24"/>
          <w:szCs w:val="24"/>
        </w:rPr>
        <w:lastRenderedPageBreak/>
        <w:t>Atribuindo a cada célula do grid do modelo as classes e probabilidades geradas pelos algoritmos de K-</w:t>
      </w:r>
      <w:proofErr w:type="spellStart"/>
      <w:r>
        <w:rPr>
          <w:rFonts w:ascii="Arial" w:hAnsi="Arial" w:cs="Arial"/>
          <w:sz w:val="24"/>
          <w:szCs w:val="24"/>
        </w:rPr>
        <w:t>Means</w:t>
      </w:r>
      <w:proofErr w:type="spellEnd"/>
      <w:r>
        <w:rPr>
          <w:rFonts w:ascii="Arial" w:hAnsi="Arial" w:cs="Arial"/>
          <w:sz w:val="24"/>
          <w:szCs w:val="24"/>
        </w:rPr>
        <w:t xml:space="preserve"> e GMM correspondentes ao neurônio que atua como resposta desta célula na camada de saída do mapa auto organizável, é possível mapear a distribuição </w:t>
      </w:r>
      <w:r w:rsidR="00806449">
        <w:rPr>
          <w:rFonts w:ascii="Arial" w:hAnsi="Arial" w:cs="Arial"/>
          <w:sz w:val="24"/>
          <w:szCs w:val="24"/>
        </w:rPr>
        <w:t xml:space="preserve">entre classes </w:t>
      </w:r>
      <w:r>
        <w:rPr>
          <w:rFonts w:ascii="Arial" w:hAnsi="Arial" w:cs="Arial"/>
          <w:sz w:val="24"/>
          <w:szCs w:val="24"/>
        </w:rPr>
        <w:t xml:space="preserve">entre </w:t>
      </w:r>
      <w:r w:rsidR="00806449">
        <w:rPr>
          <w:rFonts w:ascii="Arial" w:hAnsi="Arial" w:cs="Arial"/>
          <w:sz w:val="24"/>
          <w:szCs w:val="24"/>
        </w:rPr>
        <w:t>o</w:t>
      </w:r>
      <w:r>
        <w:rPr>
          <w:rFonts w:ascii="Arial" w:hAnsi="Arial" w:cs="Arial"/>
          <w:sz w:val="24"/>
          <w:szCs w:val="24"/>
        </w:rPr>
        <w:t>s</w:t>
      </w:r>
      <w:r w:rsidR="00806449">
        <w:rPr>
          <w:rFonts w:ascii="Arial" w:hAnsi="Arial" w:cs="Arial"/>
          <w:sz w:val="24"/>
          <w:szCs w:val="24"/>
        </w:rPr>
        <w:t xml:space="preserve"> valores das</w:t>
      </w:r>
      <w:r>
        <w:rPr>
          <w:rFonts w:ascii="Arial" w:hAnsi="Arial" w:cs="Arial"/>
          <w:sz w:val="24"/>
          <w:szCs w:val="24"/>
        </w:rPr>
        <w:t xml:space="preserve"> propriedades.</w:t>
      </w:r>
      <w:r w:rsidR="00D9665D">
        <w:rPr>
          <w:rFonts w:ascii="Arial" w:hAnsi="Arial" w:cs="Arial"/>
          <w:sz w:val="24"/>
          <w:szCs w:val="24"/>
        </w:rPr>
        <w:t xml:space="preserve"> Chama-se aqui a classe de menor saturação de água e/ou maior porosidade como classe alvo, enquanto a classe contrária com maiores saturações e menor porosidade é chamada aqui como classe de descarte. Chama-se a classe entre os dois valores de classe </w:t>
      </w:r>
      <w:r w:rsidR="00D80BBE">
        <w:rPr>
          <w:rFonts w:ascii="Arial" w:hAnsi="Arial" w:cs="Arial"/>
          <w:sz w:val="24"/>
          <w:szCs w:val="24"/>
        </w:rPr>
        <w:t>intermediária</w:t>
      </w:r>
      <w:r w:rsidR="00D9665D">
        <w:rPr>
          <w:rFonts w:ascii="Arial" w:hAnsi="Arial" w:cs="Arial"/>
          <w:sz w:val="24"/>
          <w:szCs w:val="24"/>
        </w:rPr>
        <w:t>.</w:t>
      </w:r>
    </w:p>
    <w:p w14:paraId="286E85AB" w14:textId="2ABC224D" w:rsidR="0011005A" w:rsidRDefault="00D63BD5" w:rsidP="00F40ACC">
      <w:pPr>
        <w:spacing w:line="360" w:lineRule="auto"/>
        <w:ind w:firstLine="708"/>
        <w:jc w:val="both"/>
        <w:rPr>
          <w:rFonts w:ascii="Arial" w:hAnsi="Arial" w:cs="Arial"/>
          <w:sz w:val="24"/>
          <w:szCs w:val="24"/>
        </w:rPr>
      </w:pPr>
      <w:r>
        <w:rPr>
          <w:rFonts w:ascii="Arial" w:hAnsi="Arial" w:cs="Arial"/>
          <w:sz w:val="24"/>
          <w:szCs w:val="24"/>
        </w:rPr>
        <w:t xml:space="preserve"> Observa-se que o algoritmo de GMM conseguiu individualizar melhor as células </w:t>
      </w:r>
      <w:r w:rsidR="00D9665D">
        <w:rPr>
          <w:rFonts w:ascii="Arial" w:hAnsi="Arial" w:cs="Arial"/>
          <w:sz w:val="24"/>
          <w:szCs w:val="24"/>
        </w:rPr>
        <w:t>pertencentes a classe alvo</w:t>
      </w:r>
      <w:r w:rsidR="00D80BBE">
        <w:rPr>
          <w:rFonts w:ascii="Arial" w:hAnsi="Arial" w:cs="Arial"/>
          <w:sz w:val="24"/>
          <w:szCs w:val="24"/>
        </w:rPr>
        <w:t xml:space="preserve"> (Classe 1)</w:t>
      </w:r>
      <w:r>
        <w:rPr>
          <w:rFonts w:ascii="Arial" w:hAnsi="Arial" w:cs="Arial"/>
          <w:sz w:val="24"/>
          <w:szCs w:val="24"/>
        </w:rPr>
        <w:t>, mostrando maiores valores de porosidade</w:t>
      </w:r>
      <w:r w:rsidR="00D9665D">
        <w:rPr>
          <w:rFonts w:ascii="Arial" w:hAnsi="Arial" w:cs="Arial"/>
          <w:sz w:val="24"/>
          <w:szCs w:val="24"/>
        </w:rPr>
        <w:t xml:space="preserve"> (24%)</w:t>
      </w:r>
      <w:r>
        <w:rPr>
          <w:rFonts w:ascii="Arial" w:hAnsi="Arial" w:cs="Arial"/>
          <w:sz w:val="24"/>
          <w:szCs w:val="24"/>
        </w:rPr>
        <w:t xml:space="preserve"> e menores de saturação</w:t>
      </w:r>
      <w:r w:rsidR="00D9665D">
        <w:rPr>
          <w:rFonts w:ascii="Arial" w:hAnsi="Arial" w:cs="Arial"/>
          <w:sz w:val="24"/>
          <w:szCs w:val="24"/>
        </w:rPr>
        <w:t xml:space="preserve"> (35%)</w:t>
      </w:r>
      <w:r>
        <w:rPr>
          <w:rFonts w:ascii="Arial" w:hAnsi="Arial" w:cs="Arial"/>
          <w:sz w:val="24"/>
          <w:szCs w:val="24"/>
        </w:rPr>
        <w:t xml:space="preserve"> simultaneamente (Tabela </w:t>
      </w:r>
      <w:r w:rsidR="00612500">
        <w:rPr>
          <w:rFonts w:ascii="Arial" w:hAnsi="Arial" w:cs="Arial"/>
          <w:sz w:val="24"/>
          <w:szCs w:val="24"/>
        </w:rPr>
        <w:t>8</w:t>
      </w:r>
      <w:r>
        <w:rPr>
          <w:rFonts w:ascii="Arial" w:hAnsi="Arial" w:cs="Arial"/>
          <w:sz w:val="24"/>
          <w:szCs w:val="24"/>
        </w:rPr>
        <w:t>), enquanto o K-</w:t>
      </w:r>
      <w:proofErr w:type="spellStart"/>
      <w:r>
        <w:rPr>
          <w:rFonts w:ascii="Arial" w:hAnsi="Arial" w:cs="Arial"/>
          <w:sz w:val="24"/>
          <w:szCs w:val="24"/>
        </w:rPr>
        <w:t>Means</w:t>
      </w:r>
      <w:proofErr w:type="spellEnd"/>
      <w:r>
        <w:rPr>
          <w:rFonts w:ascii="Arial" w:hAnsi="Arial" w:cs="Arial"/>
          <w:sz w:val="24"/>
          <w:szCs w:val="24"/>
        </w:rPr>
        <w:t xml:space="preserve"> </w:t>
      </w:r>
      <w:r w:rsidR="00D9665D">
        <w:rPr>
          <w:rFonts w:ascii="Arial" w:hAnsi="Arial" w:cs="Arial"/>
          <w:sz w:val="24"/>
          <w:szCs w:val="24"/>
        </w:rPr>
        <w:t xml:space="preserve">obteve duas classes com porosidades semelhantes em torno de 21% </w:t>
      </w:r>
      <w:r w:rsidR="00D80BBE">
        <w:rPr>
          <w:rFonts w:ascii="Arial" w:hAnsi="Arial" w:cs="Arial"/>
          <w:sz w:val="24"/>
          <w:szCs w:val="24"/>
        </w:rPr>
        <w:t xml:space="preserve">(Classes 1 e 2) </w:t>
      </w:r>
      <w:r w:rsidR="00D9665D">
        <w:rPr>
          <w:rFonts w:ascii="Arial" w:hAnsi="Arial" w:cs="Arial"/>
          <w:sz w:val="24"/>
          <w:szCs w:val="24"/>
        </w:rPr>
        <w:t>e uma classe</w:t>
      </w:r>
      <w:r w:rsidR="00D80BBE">
        <w:rPr>
          <w:rFonts w:ascii="Arial" w:hAnsi="Arial" w:cs="Arial"/>
          <w:sz w:val="24"/>
          <w:szCs w:val="24"/>
        </w:rPr>
        <w:t xml:space="preserve"> (Classe 1)</w:t>
      </w:r>
      <w:r w:rsidR="00D9665D">
        <w:rPr>
          <w:rFonts w:ascii="Arial" w:hAnsi="Arial" w:cs="Arial"/>
          <w:sz w:val="24"/>
          <w:szCs w:val="24"/>
        </w:rPr>
        <w:t xml:space="preserve"> com a menor saturação de água e</w:t>
      </w:r>
      <w:r w:rsidR="00D80BBE">
        <w:rPr>
          <w:rFonts w:ascii="Arial" w:hAnsi="Arial" w:cs="Arial"/>
          <w:sz w:val="24"/>
          <w:szCs w:val="24"/>
        </w:rPr>
        <w:t>m</w:t>
      </w:r>
      <w:r w:rsidR="00D9665D">
        <w:rPr>
          <w:rFonts w:ascii="Arial" w:hAnsi="Arial" w:cs="Arial"/>
          <w:sz w:val="24"/>
          <w:szCs w:val="24"/>
        </w:rPr>
        <w:t xml:space="preserve"> 46% (Tabela </w:t>
      </w:r>
      <w:r w:rsidR="00612500">
        <w:rPr>
          <w:rFonts w:ascii="Arial" w:hAnsi="Arial" w:cs="Arial"/>
          <w:sz w:val="24"/>
          <w:szCs w:val="24"/>
        </w:rPr>
        <w:t>9</w:t>
      </w:r>
      <w:r w:rsidR="00D9665D">
        <w:rPr>
          <w:rFonts w:ascii="Arial" w:hAnsi="Arial" w:cs="Arial"/>
          <w:sz w:val="24"/>
          <w:szCs w:val="24"/>
        </w:rPr>
        <w:t xml:space="preserve">), definida como a classe alvo. Ao mesmo tempo, para os dois algoritmos observa-se a atribuição dos valores de alta resistividade à classe alvo, </w:t>
      </w:r>
      <w:r w:rsidR="00D80BBE">
        <w:rPr>
          <w:rFonts w:ascii="Arial" w:hAnsi="Arial" w:cs="Arial"/>
          <w:sz w:val="24"/>
          <w:szCs w:val="24"/>
        </w:rPr>
        <w:t>justificando os altos valores de resistividade média e coeficiente de variação observados na ocorrência dos picos de resistividade em células de muito baixa saturação de água (Figura 33; Figura 35).</w:t>
      </w:r>
    </w:p>
    <w:p w14:paraId="2E9CB6D3" w14:textId="1F586BE3" w:rsidR="00D80BBE" w:rsidRDefault="00D80BBE" w:rsidP="00F40ACC">
      <w:pPr>
        <w:spacing w:line="360" w:lineRule="auto"/>
        <w:ind w:firstLine="708"/>
        <w:jc w:val="both"/>
        <w:rPr>
          <w:rFonts w:ascii="Arial" w:hAnsi="Arial" w:cs="Arial"/>
          <w:sz w:val="24"/>
          <w:szCs w:val="24"/>
        </w:rPr>
      </w:pPr>
      <w:r>
        <w:rPr>
          <w:rFonts w:ascii="Arial" w:hAnsi="Arial" w:cs="Arial"/>
          <w:sz w:val="24"/>
          <w:szCs w:val="24"/>
        </w:rPr>
        <w:t xml:space="preserve">Ao mesmo tempo, nota-se que o GMM classificou como alvo apenas 123,262 células quando comparado </w:t>
      </w:r>
      <w:r w:rsidR="00727F07">
        <w:rPr>
          <w:rFonts w:ascii="Arial" w:hAnsi="Arial" w:cs="Arial"/>
          <w:sz w:val="24"/>
          <w:szCs w:val="24"/>
        </w:rPr>
        <w:t>às</w:t>
      </w:r>
      <w:r>
        <w:rPr>
          <w:rFonts w:ascii="Arial" w:hAnsi="Arial" w:cs="Arial"/>
          <w:sz w:val="24"/>
          <w:szCs w:val="24"/>
        </w:rPr>
        <w:t xml:space="preserve"> 191,565 células alvo do K-</w:t>
      </w:r>
      <w:proofErr w:type="spellStart"/>
      <w:r>
        <w:rPr>
          <w:rFonts w:ascii="Arial" w:hAnsi="Arial" w:cs="Arial"/>
          <w:sz w:val="24"/>
          <w:szCs w:val="24"/>
        </w:rPr>
        <w:t>Means</w:t>
      </w:r>
      <w:proofErr w:type="spellEnd"/>
      <w:r>
        <w:rPr>
          <w:rFonts w:ascii="Arial" w:hAnsi="Arial" w:cs="Arial"/>
          <w:sz w:val="24"/>
          <w:szCs w:val="24"/>
        </w:rPr>
        <w:t xml:space="preserve">. Considerando os valores similares de porosidade e saturação de água observados para as classes intermediária e </w:t>
      </w:r>
      <w:r w:rsidR="002B1CA9">
        <w:rPr>
          <w:rFonts w:ascii="Arial" w:hAnsi="Arial" w:cs="Arial"/>
          <w:sz w:val="24"/>
          <w:szCs w:val="24"/>
        </w:rPr>
        <w:t>descarte nos dois modelos, é provável que o K-</w:t>
      </w:r>
      <w:proofErr w:type="spellStart"/>
      <w:r w:rsidR="002B1CA9">
        <w:rPr>
          <w:rFonts w:ascii="Arial" w:hAnsi="Arial" w:cs="Arial"/>
          <w:sz w:val="24"/>
          <w:szCs w:val="24"/>
        </w:rPr>
        <w:t>Means</w:t>
      </w:r>
      <w:proofErr w:type="spellEnd"/>
      <w:r w:rsidR="002B1CA9">
        <w:rPr>
          <w:rFonts w:ascii="Arial" w:hAnsi="Arial" w:cs="Arial"/>
          <w:sz w:val="24"/>
          <w:szCs w:val="24"/>
        </w:rPr>
        <w:t xml:space="preserve"> tenha associado altos valores de raio gama à classe alvo. Classificando um grande número de células com alta resposta de raio gama e altas saturações de água como alvo</w:t>
      </w:r>
      <w:r w:rsidR="00F40ACC">
        <w:rPr>
          <w:rFonts w:ascii="Arial" w:hAnsi="Arial" w:cs="Arial"/>
          <w:sz w:val="24"/>
          <w:szCs w:val="24"/>
        </w:rPr>
        <w:t>. Tal efeito pode ser observado na classificação ainda no mapa auto organizável, tal que os neurônios com altas respostas para raio gama ocorrem na área superior esquerda e os com baixa resposta de saturação de água na área superior direita (Figura 35)</w:t>
      </w:r>
      <w:r w:rsidR="009E0DDF">
        <w:rPr>
          <w:rFonts w:ascii="Arial" w:hAnsi="Arial" w:cs="Arial"/>
          <w:sz w:val="24"/>
          <w:szCs w:val="24"/>
        </w:rPr>
        <w:t>. Enquanto o K-</w:t>
      </w:r>
      <w:proofErr w:type="spellStart"/>
      <w:r w:rsidR="009E0DDF">
        <w:rPr>
          <w:rFonts w:ascii="Arial" w:hAnsi="Arial" w:cs="Arial"/>
          <w:sz w:val="24"/>
          <w:szCs w:val="24"/>
        </w:rPr>
        <w:t>Means</w:t>
      </w:r>
      <w:proofErr w:type="spellEnd"/>
      <w:r w:rsidR="009E0DDF">
        <w:rPr>
          <w:rFonts w:ascii="Arial" w:hAnsi="Arial" w:cs="Arial"/>
          <w:sz w:val="24"/>
          <w:szCs w:val="24"/>
        </w:rPr>
        <w:t xml:space="preserve"> coloca os neurônios de alta resposta em raio gama na mesma classe que os neurônios com baixa resposta em saturação, o GMM classifica os neurônios de alta resposta em raio gama de forma separada das baixas respostas em saturação (Figura 3</w:t>
      </w:r>
      <w:r w:rsidR="002D150E">
        <w:rPr>
          <w:rFonts w:ascii="Arial" w:hAnsi="Arial" w:cs="Arial"/>
          <w:sz w:val="24"/>
          <w:szCs w:val="24"/>
        </w:rPr>
        <w:t>6</w:t>
      </w:r>
      <w:r w:rsidR="009E0DDF">
        <w:rPr>
          <w:rFonts w:ascii="Arial" w:hAnsi="Arial" w:cs="Arial"/>
          <w:sz w:val="24"/>
          <w:szCs w:val="24"/>
        </w:rPr>
        <w:t>).</w:t>
      </w:r>
    </w:p>
    <w:p w14:paraId="7DE6B1E0" w14:textId="1642E8EC" w:rsidR="000F7271" w:rsidRDefault="000F7271" w:rsidP="0011005A">
      <w:pPr>
        <w:ind w:firstLine="708"/>
        <w:rPr>
          <w:rFonts w:ascii="Arial" w:hAnsi="Arial" w:cs="Arial"/>
          <w:sz w:val="24"/>
          <w:szCs w:val="24"/>
        </w:rPr>
      </w:pPr>
    </w:p>
    <w:p w14:paraId="714C6987" w14:textId="1B42CE9A" w:rsidR="000F7271" w:rsidRPr="00D63BD5" w:rsidRDefault="000F7271" w:rsidP="000F7271">
      <w:pPr>
        <w:pStyle w:val="Legenda"/>
        <w:keepNext/>
        <w:rPr>
          <w:rFonts w:ascii="Arial" w:hAnsi="Arial" w:cs="Arial"/>
          <w:b/>
          <w:bCs/>
          <w:color w:val="000000" w:themeColor="text1"/>
          <w:sz w:val="20"/>
          <w:szCs w:val="20"/>
        </w:rPr>
      </w:pPr>
      <w:bookmarkStart w:id="62" w:name="_Toc32229566"/>
      <w:r w:rsidRPr="00D63BD5">
        <w:rPr>
          <w:rFonts w:ascii="Arial" w:hAnsi="Arial" w:cs="Arial"/>
          <w:b/>
          <w:bCs/>
          <w:color w:val="000000" w:themeColor="text1"/>
          <w:sz w:val="20"/>
          <w:szCs w:val="20"/>
        </w:rPr>
        <w:lastRenderedPageBreak/>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8</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w:t>
      </w:r>
      <w:r w:rsidR="00D63BD5" w:rsidRPr="00D63BD5">
        <w:rPr>
          <w:rFonts w:ascii="Arial" w:hAnsi="Arial" w:cs="Arial"/>
          <w:b/>
          <w:bCs/>
          <w:color w:val="000000" w:themeColor="text1"/>
          <w:sz w:val="20"/>
          <w:szCs w:val="20"/>
        </w:rPr>
        <w:t>Modelo de Mistura Gaussiana, GMM.</w:t>
      </w:r>
      <w:bookmarkEnd w:id="62"/>
    </w:p>
    <w:p w14:paraId="1FEE53AB" w14:textId="39AE359F" w:rsidR="000F7271" w:rsidRDefault="000F7271" w:rsidP="0011005A">
      <w:pPr>
        <w:ind w:firstLine="708"/>
      </w:pPr>
      <w:r>
        <w:rPr>
          <w:noProof/>
        </w:rPr>
        <w:drawing>
          <wp:inline distT="0" distB="0" distL="0" distR="0" wp14:anchorId="46F9FAA6" wp14:editId="16528433">
            <wp:extent cx="4315429" cy="163852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3">
                      <a:extLst>
                        <a:ext uri="{28A0092B-C50C-407E-A947-70E740481C1C}">
                          <a14:useLocalDpi xmlns:a14="http://schemas.microsoft.com/office/drawing/2010/main" val="0"/>
                        </a:ext>
                      </a:extLst>
                    </a:blip>
                    <a:stretch>
                      <a:fillRect/>
                    </a:stretch>
                  </pic:blipFill>
                  <pic:spPr>
                    <a:xfrm>
                      <a:off x="0" y="0"/>
                      <a:ext cx="4315429" cy="1638529"/>
                    </a:xfrm>
                    <a:prstGeom prst="rect">
                      <a:avLst/>
                    </a:prstGeom>
                  </pic:spPr>
                </pic:pic>
              </a:graphicData>
            </a:graphic>
          </wp:inline>
        </w:drawing>
      </w:r>
    </w:p>
    <w:p w14:paraId="6B4BEFCC" w14:textId="77777777" w:rsidR="00A1174E" w:rsidRDefault="00A1174E" w:rsidP="0011005A">
      <w:pPr>
        <w:ind w:firstLine="708"/>
      </w:pPr>
    </w:p>
    <w:p w14:paraId="389E50CC" w14:textId="7E7B3420" w:rsidR="00D63BD5" w:rsidRPr="00D63BD5" w:rsidRDefault="00D63BD5" w:rsidP="00D63BD5">
      <w:pPr>
        <w:pStyle w:val="Legenda"/>
        <w:keepNext/>
        <w:rPr>
          <w:rFonts w:ascii="Arial" w:hAnsi="Arial" w:cs="Arial"/>
          <w:b/>
          <w:bCs/>
          <w:color w:val="000000" w:themeColor="text1"/>
          <w:sz w:val="20"/>
          <w:szCs w:val="20"/>
        </w:rPr>
      </w:pPr>
      <w:bookmarkStart w:id="63" w:name="_Toc32229567"/>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9</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de K-</w:t>
      </w:r>
      <w:proofErr w:type="spellStart"/>
      <w:r w:rsidRPr="00D63BD5">
        <w:rPr>
          <w:rFonts w:ascii="Arial" w:hAnsi="Arial" w:cs="Arial"/>
          <w:b/>
          <w:bCs/>
          <w:color w:val="000000" w:themeColor="text1"/>
          <w:sz w:val="20"/>
          <w:szCs w:val="20"/>
        </w:rPr>
        <w:t>Means</w:t>
      </w:r>
      <w:proofErr w:type="spellEnd"/>
      <w:r w:rsidRPr="00D63BD5">
        <w:rPr>
          <w:rFonts w:ascii="Arial" w:hAnsi="Arial" w:cs="Arial"/>
          <w:b/>
          <w:bCs/>
          <w:color w:val="000000" w:themeColor="text1"/>
          <w:sz w:val="20"/>
          <w:szCs w:val="20"/>
        </w:rPr>
        <w:t>.</w:t>
      </w:r>
      <w:bookmarkEnd w:id="63"/>
    </w:p>
    <w:p w14:paraId="524B2B9D" w14:textId="5B3B598C" w:rsidR="00EE4341" w:rsidRDefault="00D63BD5" w:rsidP="00EE4341">
      <w:pPr>
        <w:ind w:firstLine="708"/>
      </w:pPr>
      <w:r>
        <w:rPr>
          <w:noProof/>
        </w:rPr>
        <w:drawing>
          <wp:inline distT="0" distB="0" distL="0" distR="0" wp14:anchorId="228100CE" wp14:editId="67175901">
            <wp:extent cx="4305902" cy="1581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4">
                      <a:extLst>
                        <a:ext uri="{28A0092B-C50C-407E-A947-70E740481C1C}">
                          <a14:useLocalDpi xmlns:a14="http://schemas.microsoft.com/office/drawing/2010/main" val="0"/>
                        </a:ext>
                      </a:extLst>
                    </a:blip>
                    <a:stretch>
                      <a:fillRect/>
                    </a:stretch>
                  </pic:blipFill>
                  <pic:spPr>
                    <a:xfrm>
                      <a:off x="0" y="0"/>
                      <a:ext cx="4305902" cy="1581371"/>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Este comportamento 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lastRenderedPageBreak/>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5">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64" w:name="_Toc32229556"/>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bookmarkEnd w:id="64"/>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6">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65" w:name="_Toc32229557"/>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bookmarkEnd w:id="65"/>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7">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66" w:name="_Toc32229558"/>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66"/>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67" w:name="_Toc12834451"/>
      <w:r>
        <w:rPr>
          <w:rFonts w:ascii="Arial" w:hAnsi="Arial" w:cs="Arial"/>
          <w:b/>
          <w:sz w:val="24"/>
          <w:szCs w:val="24"/>
        </w:rPr>
        <w:t>Cálculos de Volume</w:t>
      </w:r>
      <w:bookmarkEnd w:id="67"/>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7940C22E" w:rsidR="00FD4D18" w:rsidRPr="00FD4D18" w:rsidRDefault="00FD4D18" w:rsidP="00FD4D18">
      <w:pPr>
        <w:pStyle w:val="Legenda"/>
        <w:keepNext/>
        <w:jc w:val="center"/>
        <w:rPr>
          <w:rFonts w:ascii="Arial" w:hAnsi="Arial" w:cs="Arial"/>
          <w:b/>
          <w:bCs/>
          <w:color w:val="000000" w:themeColor="text1"/>
          <w:sz w:val="20"/>
          <w:szCs w:val="20"/>
        </w:rPr>
      </w:pPr>
      <w:bookmarkStart w:id="68"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68"/>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8">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26ACD16B" w:rsidR="00FD4D18" w:rsidRPr="00FD4D18" w:rsidRDefault="00FD4D18" w:rsidP="00FD4D18">
      <w:pPr>
        <w:pStyle w:val="Legenda"/>
        <w:keepNext/>
        <w:jc w:val="center"/>
        <w:rPr>
          <w:rFonts w:ascii="Arial" w:hAnsi="Arial" w:cs="Arial"/>
          <w:b/>
          <w:bCs/>
          <w:color w:val="000000" w:themeColor="text1"/>
          <w:sz w:val="20"/>
          <w:szCs w:val="20"/>
        </w:rPr>
      </w:pPr>
      <w:bookmarkStart w:id="69"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11</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69"/>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9">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77D9C300" w:rsidR="00C3373D" w:rsidRPr="00066544" w:rsidRDefault="00C3373D" w:rsidP="00066544">
      <w:pPr>
        <w:pStyle w:val="Legenda"/>
        <w:keepNext/>
        <w:jc w:val="center"/>
        <w:rPr>
          <w:rFonts w:ascii="Arial" w:hAnsi="Arial" w:cs="Arial"/>
          <w:b/>
          <w:bCs/>
          <w:color w:val="000000" w:themeColor="text1"/>
          <w:sz w:val="20"/>
          <w:szCs w:val="20"/>
        </w:rPr>
      </w:pPr>
      <w:bookmarkStart w:id="70"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612500">
        <w:rPr>
          <w:rFonts w:ascii="Arial" w:hAnsi="Arial" w:cs="Arial"/>
          <w:b/>
          <w:bCs/>
          <w:noProof/>
          <w:color w:val="000000" w:themeColor="text1"/>
          <w:sz w:val="20"/>
          <w:szCs w:val="20"/>
        </w:rPr>
        <w:t>12</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70"/>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60">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39C44BF2"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 xml:space="preserve">porosidade efetiva quanto para saturação de água, o Caso 2 atribui a cada célula o valor médio </w:t>
      </w:r>
      <w:proofErr w:type="spellStart"/>
      <w:r w:rsidR="00F1260D">
        <w:rPr>
          <w:rFonts w:ascii="Arial" w:hAnsi="Arial" w:cs="Arial"/>
          <w:sz w:val="24"/>
          <w:szCs w:val="24"/>
        </w:rPr>
        <w:t>deporosidade</w:t>
      </w:r>
      <w:proofErr w:type="spellEnd"/>
      <w:r w:rsidR="00F1260D">
        <w:rPr>
          <w:rFonts w:ascii="Arial" w:hAnsi="Arial" w:cs="Arial"/>
          <w:sz w:val="24"/>
          <w:szCs w:val="24"/>
        </w:rPr>
        <w:t xml:space="preserv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1" w:name="_Toc12834452"/>
      <w:bookmarkStart w:id="72" w:name="_Hlk12832429"/>
      <w:r>
        <w:rPr>
          <w:rFonts w:ascii="Arial" w:eastAsia="Times New Roman" w:hAnsi="Arial" w:cs="Arial"/>
          <w:b/>
          <w:sz w:val="28"/>
          <w:szCs w:val="28"/>
        </w:rPr>
        <w:lastRenderedPageBreak/>
        <w:t>CONCLUSÕES</w:t>
      </w:r>
      <w:bookmarkEnd w:id="71"/>
    </w:p>
    <w:bookmarkEnd w:id="72"/>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no entanto, é a possibilidade de realizar classificações não discretas atribuindo à cada célula um valor de probabilidade. Neste estudo, porém, esta capacidade adicional do GMM não mostrou-se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Nota-se, no entanto, que não necessariamente o comportamento observado pelos classificadores será sempre observado. Embora a técnica de Mapas Auto-Organizáveis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3" w:name="_Toc12834453"/>
      <w:r>
        <w:rPr>
          <w:rFonts w:ascii="Arial" w:eastAsia="Times New Roman" w:hAnsi="Arial" w:cs="Arial"/>
          <w:b/>
          <w:sz w:val="28"/>
          <w:szCs w:val="28"/>
        </w:rPr>
        <w:t>REFERÊNCIAS BIBLIOGRÁFICAS</w:t>
      </w:r>
      <w:bookmarkEnd w:id="73"/>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C. 2010. Modeling Uncertainty of Complex Earth Systems in Metric Space. Handbook Of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w:t>
      </w:r>
      <w:proofErr w:type="spellStart"/>
      <w:r w:rsidRPr="006D5136">
        <w:rPr>
          <w:rFonts w:ascii="Arial" w:eastAsia="Times New Roman" w:hAnsi="Arial" w:cs="Arial"/>
          <w:bCs/>
        </w:rPr>
        <w:t>Maschio</w:t>
      </w:r>
      <w:proofErr w:type="spellEnd"/>
      <w:r w:rsidRPr="006D5136">
        <w:rPr>
          <w:rFonts w:ascii="Arial" w:eastAsia="Times New Roman" w:hAnsi="Arial" w:cs="Arial"/>
          <w:bCs/>
        </w:rPr>
        <w:t xml:space="preserve">, C.,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2018. </w:t>
      </w:r>
      <w:r w:rsidRPr="006D5136">
        <w:rPr>
          <w:rFonts w:ascii="Arial" w:eastAsia="Times New Roman" w:hAnsi="Arial" w:cs="Arial"/>
          <w:bCs/>
          <w:lang w:val="en-US"/>
        </w:rPr>
        <w:t xml:space="preserve">A new methodology to reduce uncertainty of global attributes in naturally fractured reservoirs. Oil &amp; Gas Science and Technology–Revue </w:t>
      </w:r>
      <w:proofErr w:type="spellStart"/>
      <w:r w:rsidRPr="006D5136">
        <w:rPr>
          <w:rFonts w:ascii="Arial" w:eastAsia="Times New Roman" w:hAnsi="Arial" w:cs="Arial"/>
          <w:bCs/>
          <w:lang w:val="en-US"/>
        </w:rPr>
        <w:t>d’IFP</w:t>
      </w:r>
      <w:proofErr w:type="spellEnd"/>
      <w:r w:rsidRPr="006D5136">
        <w:rPr>
          <w:rFonts w:ascii="Arial" w:eastAsia="Times New Roman" w:hAnsi="Arial" w:cs="Arial"/>
          <w:bCs/>
          <w:lang w:val="en-US"/>
        </w:rPr>
        <w:t xml:space="preserve"> Energies </w:t>
      </w:r>
      <w:proofErr w:type="spellStart"/>
      <w:r w:rsidRPr="006D5136">
        <w:rPr>
          <w:rFonts w:ascii="Arial" w:eastAsia="Times New Roman" w:hAnsi="Arial" w:cs="Arial"/>
          <w:bCs/>
          <w:lang w:val="en-US"/>
        </w:rPr>
        <w:t>nouvelles</w:t>
      </w:r>
      <w:proofErr w:type="spellEnd"/>
      <w:r w:rsidRPr="006D5136">
        <w:rPr>
          <w:rFonts w:ascii="Arial" w:eastAsia="Times New Roman" w:hAnsi="Arial" w:cs="Arial"/>
          <w:bCs/>
          <w:lang w:val="en-US"/>
        </w:rPr>
        <w:t>,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4D7197" w:rsidRDefault="00540F04" w:rsidP="00540F04">
      <w:pPr>
        <w:pStyle w:val="PargrafodaLista"/>
        <w:spacing w:before="240" w:line="360" w:lineRule="auto"/>
        <w:ind w:left="390"/>
        <w:rPr>
          <w:rFonts w:ascii="Arial" w:eastAsia="Times New Roman" w:hAnsi="Arial" w:cs="Arial"/>
          <w:bCs/>
        </w:rPr>
      </w:pPr>
      <w:r w:rsidRPr="00322AB7">
        <w:rPr>
          <w:rFonts w:ascii="Arial" w:eastAsia="Times New Roman" w:hAnsi="Arial" w:cs="Arial"/>
          <w:bCs/>
          <w:lang w:val="en-US"/>
        </w:rPr>
        <w:t xml:space="preserve">ESRI. 2019. How Kriging Works. </w:t>
      </w:r>
      <w:r w:rsidRPr="004D7197">
        <w:rPr>
          <w:rFonts w:ascii="Arial" w:eastAsia="Times New Roman" w:hAnsi="Arial" w:cs="Arial"/>
          <w:bCs/>
        </w:rPr>
        <w:t>Disponível em: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w:t>
      </w:r>
      <w:proofErr w:type="spellStart"/>
      <w:r w:rsidRPr="006D5136">
        <w:rPr>
          <w:rFonts w:ascii="Arial" w:eastAsia="Times New Roman" w:hAnsi="Arial" w:cs="Arial"/>
          <w:bCs/>
        </w:rPr>
        <w:t>Fourno</w:t>
      </w:r>
      <w:proofErr w:type="spellEnd"/>
      <w:r w:rsidRPr="006D5136">
        <w:rPr>
          <w:rFonts w:ascii="Arial" w:eastAsia="Times New Roman" w:hAnsi="Arial" w:cs="Arial"/>
          <w:bCs/>
        </w:rPr>
        <w:t xml:space="preserve">, A., </w:t>
      </w:r>
      <w:proofErr w:type="spellStart"/>
      <w:r w:rsidRPr="006D5136">
        <w:rPr>
          <w:rFonts w:ascii="Arial" w:eastAsia="Times New Roman" w:hAnsi="Arial" w:cs="Arial"/>
          <w:bCs/>
        </w:rPr>
        <w:t>Noetinger</w:t>
      </w:r>
      <w:proofErr w:type="spellEnd"/>
      <w:r w:rsidRPr="006D5136">
        <w:rPr>
          <w:rFonts w:ascii="Arial" w:eastAsia="Times New Roman" w:hAnsi="Arial" w:cs="Arial"/>
          <w:bCs/>
        </w:rPr>
        <w:t xml:space="preserve">, B.,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 xml:space="preserve">Kuroda, M. C., Vidal, A. C., </w:t>
      </w: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 P., &amp; Drummond, R. D. 2012. </w:t>
      </w:r>
      <w:proofErr w:type="spellStart"/>
      <w:r w:rsidRPr="00496D08">
        <w:rPr>
          <w:rFonts w:ascii="Arial" w:eastAsia="Times New Roman" w:hAnsi="Arial" w:cs="Arial"/>
          <w:bCs/>
          <w:lang w:val="en-US"/>
        </w:rPr>
        <w:t>Electrofacies</w:t>
      </w:r>
      <w:proofErr w:type="spellEnd"/>
      <w:r w:rsidRPr="00496D08">
        <w:rPr>
          <w:rFonts w:ascii="Arial" w:eastAsia="Times New Roman" w:hAnsi="Arial" w:cs="Arial"/>
          <w:bCs/>
          <w:lang w:val="en-US"/>
        </w:rPr>
        <w:t xml:space="preserve"> characterization using self-organizing maps. </w:t>
      </w:r>
      <w:proofErr w:type="spellStart"/>
      <w:r w:rsidRPr="00496D08">
        <w:rPr>
          <w:rFonts w:ascii="Arial" w:eastAsia="Times New Roman" w:hAnsi="Arial" w:cs="Arial"/>
          <w:bCs/>
          <w:lang w:val="en-US"/>
        </w:rPr>
        <w:t>Revista</w:t>
      </w:r>
      <w:proofErr w:type="spellEnd"/>
      <w:r w:rsidRPr="00496D08">
        <w:rPr>
          <w:rFonts w:ascii="Arial" w:eastAsia="Times New Roman" w:hAnsi="Arial" w:cs="Arial"/>
          <w:bCs/>
          <w:lang w:val="en-US"/>
        </w:rPr>
        <w:t xml:space="preserve"> </w:t>
      </w:r>
      <w:proofErr w:type="spellStart"/>
      <w:r w:rsidRPr="00496D08">
        <w:rPr>
          <w:rFonts w:ascii="Arial" w:eastAsia="Times New Roman" w:hAnsi="Arial" w:cs="Arial"/>
          <w:bCs/>
          <w:lang w:val="en-US"/>
        </w:rPr>
        <w:t>Brasileira</w:t>
      </w:r>
      <w:proofErr w:type="spellEnd"/>
      <w:r w:rsidRPr="00496D08">
        <w:rPr>
          <w:rFonts w:ascii="Arial" w:eastAsia="Times New Roman" w:hAnsi="Arial" w:cs="Arial"/>
          <w:bCs/>
          <w:lang w:val="en-US"/>
        </w:rPr>
        <w:t xml:space="preserve"> de </w:t>
      </w:r>
      <w:proofErr w:type="spellStart"/>
      <w:r w:rsidRPr="00496D08">
        <w:rPr>
          <w:rFonts w:ascii="Arial" w:eastAsia="Times New Roman" w:hAnsi="Arial" w:cs="Arial"/>
          <w:bCs/>
          <w:lang w:val="en-US"/>
        </w:rPr>
        <w:t>Geofísica</w:t>
      </w:r>
      <w:proofErr w:type="spellEnd"/>
      <w:r w:rsidRPr="00496D08">
        <w:rPr>
          <w:rFonts w:ascii="Arial" w:eastAsia="Times New Roman" w:hAnsi="Arial" w:cs="Arial"/>
          <w:bCs/>
          <w:lang w:val="en-US"/>
        </w:rPr>
        <w:t>.</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r w:rsidRPr="004D7197">
        <w:rPr>
          <w:rFonts w:ascii="Arial" w:eastAsia="Times New Roman" w:hAnsi="Arial" w:cs="Arial"/>
          <w:bCs/>
        </w:rPr>
        <w:t xml:space="preserve">Leite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xml:space="preserve">,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xml:space="preserve">, J., 2011. </w:t>
      </w:r>
      <w:proofErr w:type="spellStart"/>
      <w:r w:rsidRPr="00540F04">
        <w:rPr>
          <w:rFonts w:ascii="Arial" w:eastAsia="Times New Roman" w:hAnsi="Arial" w:cs="Arial"/>
          <w:bCs/>
          <w:lang w:val="en-US"/>
        </w:rPr>
        <w:t>Scikit</w:t>
      </w:r>
      <w:proofErr w:type="spellEnd"/>
      <w:r w:rsidRPr="00540F04">
        <w:rPr>
          <w:rFonts w:ascii="Arial" w:eastAsia="Times New Roman" w:hAnsi="Arial" w:cs="Arial"/>
          <w:bCs/>
          <w:lang w:val="en-US"/>
        </w:rPr>
        <w: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Oliveira, M.L. 1997. Análise de Incertezas Envolvidas na Modelagem de Reservatório no Contexto </w:t>
      </w:r>
      <w:proofErr w:type="spellStart"/>
      <w:r w:rsidRPr="00540F04">
        <w:rPr>
          <w:rFonts w:ascii="Arial" w:eastAsia="Times New Roman" w:hAnsi="Arial" w:cs="Arial"/>
          <w:bCs/>
        </w:rPr>
        <w:t>Geoestatístico</w:t>
      </w:r>
      <w:proofErr w:type="spellEnd"/>
      <w:r w:rsidRPr="00540F04">
        <w:rPr>
          <w:rFonts w:ascii="Arial" w:eastAsia="Times New Roman" w:hAnsi="Arial" w:cs="Arial"/>
          <w:bCs/>
        </w:rPr>
        <w:t>.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organized map clusters," SEG Technical Program Expanded Abstracts :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 xml:space="preserve">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1"/>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1B04C1" w14:textId="77777777" w:rsidR="00CB57BF" w:rsidRDefault="00CB57BF" w:rsidP="00DD5D20">
      <w:pPr>
        <w:spacing w:after="0" w:line="240" w:lineRule="auto"/>
      </w:pPr>
      <w:r>
        <w:separator/>
      </w:r>
    </w:p>
  </w:endnote>
  <w:endnote w:type="continuationSeparator" w:id="0">
    <w:p w14:paraId="4B953983" w14:textId="77777777" w:rsidR="00CB57BF" w:rsidRDefault="00CB57BF"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598478"/>
      <w:docPartObj>
        <w:docPartGallery w:val="Page Numbers (Bottom of Page)"/>
        <w:docPartUnique/>
      </w:docPartObj>
    </w:sdtPr>
    <w:sdtEndPr>
      <w:rPr>
        <w:noProof/>
      </w:rPr>
    </w:sdtEndPr>
    <w:sdtContent>
      <w:p w14:paraId="384214BB" w14:textId="67A4188D" w:rsidR="009427A9" w:rsidRDefault="009427A9">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9427A9" w:rsidRDefault="009427A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225D53" w14:textId="77777777" w:rsidR="00CB57BF" w:rsidRDefault="00CB57BF" w:rsidP="00DD5D20">
      <w:pPr>
        <w:spacing w:after="0" w:line="240" w:lineRule="auto"/>
      </w:pPr>
      <w:r>
        <w:separator/>
      </w:r>
    </w:p>
  </w:footnote>
  <w:footnote w:type="continuationSeparator" w:id="0">
    <w:p w14:paraId="07565716" w14:textId="77777777" w:rsidR="00CB57BF" w:rsidRDefault="00CB57BF"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6893"/>
    <w:rsid w:val="0005577D"/>
    <w:rsid w:val="00057DD7"/>
    <w:rsid w:val="000604E2"/>
    <w:rsid w:val="00066544"/>
    <w:rsid w:val="00070398"/>
    <w:rsid w:val="00074956"/>
    <w:rsid w:val="00075389"/>
    <w:rsid w:val="000A1FBC"/>
    <w:rsid w:val="000A25AF"/>
    <w:rsid w:val="000A2ADA"/>
    <w:rsid w:val="000B1625"/>
    <w:rsid w:val="000B35CE"/>
    <w:rsid w:val="000B55C9"/>
    <w:rsid w:val="000B6C23"/>
    <w:rsid w:val="000B75AE"/>
    <w:rsid w:val="000B75D3"/>
    <w:rsid w:val="000C7A18"/>
    <w:rsid w:val="000D23BF"/>
    <w:rsid w:val="000F2998"/>
    <w:rsid w:val="000F2E35"/>
    <w:rsid w:val="000F42CD"/>
    <w:rsid w:val="000F4A9C"/>
    <w:rsid w:val="000F54C8"/>
    <w:rsid w:val="000F5B16"/>
    <w:rsid w:val="000F7271"/>
    <w:rsid w:val="0011005A"/>
    <w:rsid w:val="0011276D"/>
    <w:rsid w:val="001160C7"/>
    <w:rsid w:val="0011650E"/>
    <w:rsid w:val="00126D99"/>
    <w:rsid w:val="001332DB"/>
    <w:rsid w:val="001341A1"/>
    <w:rsid w:val="00136345"/>
    <w:rsid w:val="00140475"/>
    <w:rsid w:val="00140DA9"/>
    <w:rsid w:val="001419C4"/>
    <w:rsid w:val="00144BC8"/>
    <w:rsid w:val="00146384"/>
    <w:rsid w:val="00146FD0"/>
    <w:rsid w:val="0015005E"/>
    <w:rsid w:val="001521BF"/>
    <w:rsid w:val="00162ED1"/>
    <w:rsid w:val="00172601"/>
    <w:rsid w:val="00172A01"/>
    <w:rsid w:val="001767B6"/>
    <w:rsid w:val="00186E32"/>
    <w:rsid w:val="001977E4"/>
    <w:rsid w:val="001A2263"/>
    <w:rsid w:val="001A24A3"/>
    <w:rsid w:val="001A285F"/>
    <w:rsid w:val="001B0DA8"/>
    <w:rsid w:val="001B7D88"/>
    <w:rsid w:val="001C2F7D"/>
    <w:rsid w:val="001C4058"/>
    <w:rsid w:val="001C636D"/>
    <w:rsid w:val="001C7826"/>
    <w:rsid w:val="001E156A"/>
    <w:rsid w:val="001E1B9A"/>
    <w:rsid w:val="001E2D45"/>
    <w:rsid w:val="002030A8"/>
    <w:rsid w:val="00206CC9"/>
    <w:rsid w:val="00211E0A"/>
    <w:rsid w:val="00211E8E"/>
    <w:rsid w:val="00221102"/>
    <w:rsid w:val="00222AE4"/>
    <w:rsid w:val="00223CF9"/>
    <w:rsid w:val="00227BD7"/>
    <w:rsid w:val="00232DA0"/>
    <w:rsid w:val="00246C80"/>
    <w:rsid w:val="0026381D"/>
    <w:rsid w:val="0026564E"/>
    <w:rsid w:val="00277A82"/>
    <w:rsid w:val="00286561"/>
    <w:rsid w:val="00287EB9"/>
    <w:rsid w:val="00292A63"/>
    <w:rsid w:val="00295768"/>
    <w:rsid w:val="002B1CA9"/>
    <w:rsid w:val="002B407F"/>
    <w:rsid w:val="002B4615"/>
    <w:rsid w:val="002B5D86"/>
    <w:rsid w:val="002C3571"/>
    <w:rsid w:val="002C375A"/>
    <w:rsid w:val="002C5B2E"/>
    <w:rsid w:val="002C5D58"/>
    <w:rsid w:val="002C659A"/>
    <w:rsid w:val="002D150E"/>
    <w:rsid w:val="002D6D65"/>
    <w:rsid w:val="002E104D"/>
    <w:rsid w:val="002E6185"/>
    <w:rsid w:val="002F63EE"/>
    <w:rsid w:val="00322AB7"/>
    <w:rsid w:val="003258A5"/>
    <w:rsid w:val="0032750C"/>
    <w:rsid w:val="003463FA"/>
    <w:rsid w:val="00352561"/>
    <w:rsid w:val="00354126"/>
    <w:rsid w:val="003625E3"/>
    <w:rsid w:val="00366C5C"/>
    <w:rsid w:val="00373D02"/>
    <w:rsid w:val="00377857"/>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4007EE"/>
    <w:rsid w:val="00402980"/>
    <w:rsid w:val="00402FE8"/>
    <w:rsid w:val="0040376C"/>
    <w:rsid w:val="00403851"/>
    <w:rsid w:val="00406342"/>
    <w:rsid w:val="0041191B"/>
    <w:rsid w:val="0041224B"/>
    <w:rsid w:val="00414EB6"/>
    <w:rsid w:val="00420141"/>
    <w:rsid w:val="00420BBE"/>
    <w:rsid w:val="00422C09"/>
    <w:rsid w:val="004273EF"/>
    <w:rsid w:val="00434322"/>
    <w:rsid w:val="00434D60"/>
    <w:rsid w:val="00441789"/>
    <w:rsid w:val="00452FAA"/>
    <w:rsid w:val="00453769"/>
    <w:rsid w:val="0045548B"/>
    <w:rsid w:val="00460EE8"/>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9C7"/>
    <w:rsid w:val="00503DDB"/>
    <w:rsid w:val="005070E9"/>
    <w:rsid w:val="005101E9"/>
    <w:rsid w:val="005133DE"/>
    <w:rsid w:val="0051408F"/>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37C6"/>
    <w:rsid w:val="00667EE7"/>
    <w:rsid w:val="0067092D"/>
    <w:rsid w:val="00671752"/>
    <w:rsid w:val="00680028"/>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2BD8"/>
    <w:rsid w:val="00767D2F"/>
    <w:rsid w:val="00770949"/>
    <w:rsid w:val="00787083"/>
    <w:rsid w:val="007A1D1F"/>
    <w:rsid w:val="007B10EB"/>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B0772"/>
    <w:rsid w:val="008C1BE4"/>
    <w:rsid w:val="008C47CA"/>
    <w:rsid w:val="008D0FD1"/>
    <w:rsid w:val="008D682F"/>
    <w:rsid w:val="008E06FA"/>
    <w:rsid w:val="008F04A0"/>
    <w:rsid w:val="008F0D6D"/>
    <w:rsid w:val="009035F3"/>
    <w:rsid w:val="00906351"/>
    <w:rsid w:val="0092099E"/>
    <w:rsid w:val="00922D49"/>
    <w:rsid w:val="009427A9"/>
    <w:rsid w:val="00942EBE"/>
    <w:rsid w:val="00943772"/>
    <w:rsid w:val="00952EDF"/>
    <w:rsid w:val="0096112B"/>
    <w:rsid w:val="0097133B"/>
    <w:rsid w:val="009739A9"/>
    <w:rsid w:val="00977449"/>
    <w:rsid w:val="00986836"/>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47866"/>
    <w:rsid w:val="00A505E2"/>
    <w:rsid w:val="00A53748"/>
    <w:rsid w:val="00A55266"/>
    <w:rsid w:val="00A62B7C"/>
    <w:rsid w:val="00A62BA1"/>
    <w:rsid w:val="00A63D40"/>
    <w:rsid w:val="00A6683E"/>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F4CE2"/>
    <w:rsid w:val="00B0423B"/>
    <w:rsid w:val="00B06C22"/>
    <w:rsid w:val="00B07965"/>
    <w:rsid w:val="00B10D46"/>
    <w:rsid w:val="00B17B53"/>
    <w:rsid w:val="00B2069E"/>
    <w:rsid w:val="00B2728B"/>
    <w:rsid w:val="00B27AA7"/>
    <w:rsid w:val="00B30463"/>
    <w:rsid w:val="00B347C3"/>
    <w:rsid w:val="00B34D33"/>
    <w:rsid w:val="00B351FE"/>
    <w:rsid w:val="00B355B2"/>
    <w:rsid w:val="00B370CB"/>
    <w:rsid w:val="00B554E6"/>
    <w:rsid w:val="00B5588D"/>
    <w:rsid w:val="00B60A0E"/>
    <w:rsid w:val="00B6342A"/>
    <w:rsid w:val="00B7388B"/>
    <w:rsid w:val="00B754F3"/>
    <w:rsid w:val="00B92E0F"/>
    <w:rsid w:val="00B97651"/>
    <w:rsid w:val="00BA11F4"/>
    <w:rsid w:val="00BA27BA"/>
    <w:rsid w:val="00BA4F2C"/>
    <w:rsid w:val="00BB08FC"/>
    <w:rsid w:val="00BB1A8C"/>
    <w:rsid w:val="00BB6FA0"/>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2D85"/>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B57BF"/>
    <w:rsid w:val="00CC406A"/>
    <w:rsid w:val="00CD33E9"/>
    <w:rsid w:val="00CD4557"/>
    <w:rsid w:val="00CD6CA7"/>
    <w:rsid w:val="00CD732E"/>
    <w:rsid w:val="00CE27B7"/>
    <w:rsid w:val="00CE4546"/>
    <w:rsid w:val="00CE69B3"/>
    <w:rsid w:val="00CE7B94"/>
    <w:rsid w:val="00D03837"/>
    <w:rsid w:val="00D104C9"/>
    <w:rsid w:val="00D138FB"/>
    <w:rsid w:val="00D22610"/>
    <w:rsid w:val="00D230EE"/>
    <w:rsid w:val="00D23666"/>
    <w:rsid w:val="00D2431C"/>
    <w:rsid w:val="00D27E07"/>
    <w:rsid w:val="00D337A1"/>
    <w:rsid w:val="00D34B0E"/>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C0591"/>
    <w:rsid w:val="00DD5A6D"/>
    <w:rsid w:val="00DD5D20"/>
    <w:rsid w:val="00DE21CB"/>
    <w:rsid w:val="00DE29AD"/>
    <w:rsid w:val="00DF49ED"/>
    <w:rsid w:val="00DF58A1"/>
    <w:rsid w:val="00E05BAC"/>
    <w:rsid w:val="00E07403"/>
    <w:rsid w:val="00E17CB6"/>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32C0"/>
    <w:rsid w:val="00EB48A4"/>
    <w:rsid w:val="00EB61E5"/>
    <w:rsid w:val="00EC7F74"/>
    <w:rsid w:val="00ED2199"/>
    <w:rsid w:val="00ED2558"/>
    <w:rsid w:val="00EE4341"/>
    <w:rsid w:val="00EF4B6B"/>
    <w:rsid w:val="00EF56DE"/>
    <w:rsid w:val="00EF692F"/>
    <w:rsid w:val="00EF69DB"/>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658AF"/>
    <w:rsid w:val="00F81809"/>
    <w:rsid w:val="00F84842"/>
    <w:rsid w:val="00F86C66"/>
    <w:rsid w:val="00F91027"/>
    <w:rsid w:val="00F94B6D"/>
    <w:rsid w:val="00FA2D0F"/>
    <w:rsid w:val="00FB2271"/>
    <w:rsid w:val="00FB2DDC"/>
    <w:rsid w:val="00FB5E72"/>
    <w:rsid w:val="00FC01FE"/>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5C529AB3-7435-4112-983B-F0AAF43B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E44AE-41F3-4285-BCFE-DE97A1A31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7972</TotalTime>
  <Pages>80</Pages>
  <Words>18932</Words>
  <Characters>102235</Characters>
  <Application>Microsoft Office Word</Application>
  <DocSecurity>0</DocSecurity>
  <Lines>851</Lines>
  <Paragraphs>241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121</cp:revision>
  <dcterms:created xsi:type="dcterms:W3CDTF">2019-05-19T21:02:00Z</dcterms:created>
  <dcterms:modified xsi:type="dcterms:W3CDTF">2020-03-04T22:09:00Z</dcterms:modified>
</cp:coreProperties>
</file>